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FBB08" w14:textId="77777777" w:rsidR="000722AF" w:rsidRPr="003D2AB7" w:rsidRDefault="00644B79" w:rsidP="00A93C43">
      <w:pPr>
        <w:tabs>
          <w:tab w:val="left" w:pos="9003"/>
        </w:tabs>
        <w:rPr>
          <w:rFonts w:cstheme="minorHAnsi"/>
        </w:rPr>
        <w:sectPr w:rsidR="000722AF" w:rsidRPr="003D2AB7" w:rsidSect="00313005">
          <w:headerReference w:type="default" r:id="rId8"/>
          <w:footerReference w:type="default" r:id="rId9"/>
          <w:pgSz w:w="11906" w:h="16838"/>
          <w:pgMar w:top="1440" w:right="1440" w:bottom="1440" w:left="0" w:header="568" w:footer="708" w:gutter="0"/>
          <w:cols w:space="708"/>
          <w:docGrid w:linePitch="360"/>
        </w:sectPr>
      </w:pPr>
      <w:bookmarkStart w:id="0" w:name="_GoBack"/>
      <w:bookmarkEnd w:id="0"/>
      <w:r w:rsidRPr="003D2AB7">
        <w:rPr>
          <w:rFonts w:cstheme="minorHAnsi"/>
          <w:noProof/>
          <w:lang w:eastAsia="en-AU"/>
        </w:rPr>
        <mc:AlternateContent>
          <mc:Choice Requires="wps">
            <w:drawing>
              <wp:anchor distT="45720" distB="45720" distL="114300" distR="114300" simplePos="0" relativeHeight="251659264" behindDoc="1" locked="0" layoutInCell="1" allowOverlap="1" wp14:anchorId="60148569" wp14:editId="137FEAA7">
                <wp:simplePos x="0" y="0"/>
                <wp:positionH relativeFrom="margin">
                  <wp:posOffset>885825</wp:posOffset>
                </wp:positionH>
                <wp:positionV relativeFrom="paragraph">
                  <wp:posOffset>161925</wp:posOffset>
                </wp:positionV>
                <wp:extent cx="6067425" cy="7203440"/>
                <wp:effectExtent l="0" t="0" r="0" b="0"/>
                <wp:wrapTight wrapText="bothSides">
                  <wp:wrapPolygon edited="0">
                    <wp:start x="0" y="0"/>
                    <wp:lineTo x="0" y="21600"/>
                    <wp:lineTo x="21600" y="21600"/>
                    <wp:lineTo x="2160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203440"/>
                        </a:xfrm>
                        <a:prstGeom prst="rect">
                          <a:avLst/>
                        </a:prstGeom>
                        <a:solidFill>
                          <a:srgbClr val="FFFFFF">
                            <a:alpha val="0"/>
                          </a:srgbClr>
                        </a:solidFill>
                        <a:ln w="9525">
                          <a:noFill/>
                          <a:miter lim="800000"/>
                          <a:headEnd/>
                          <a:tailEnd/>
                        </a:ln>
                      </wps:spPr>
                      <wps:txbx>
                        <w:txbxContent>
                          <w:p w14:paraId="0C1F6BC2" w14:textId="77777777" w:rsidR="0026752F" w:rsidRPr="003D2AB7" w:rsidRDefault="0026752F" w:rsidP="00644B79">
                            <w:pPr>
                              <w:spacing w:line="240" w:lineRule="auto"/>
                              <w:rPr>
                                <w:rFonts w:cstheme="minorHAnsi"/>
                                <w:color w:val="FFFFFF" w:themeColor="background1"/>
                                <w:sz w:val="96"/>
                                <w:szCs w:val="120"/>
                              </w:rPr>
                            </w:pPr>
                            <w:r w:rsidRPr="003D2AB7">
                              <w:rPr>
                                <w:rFonts w:cstheme="minorHAnsi"/>
                                <w:color w:val="FFFFFF" w:themeColor="background1"/>
                                <w:sz w:val="96"/>
                                <w:szCs w:val="120"/>
                              </w:rPr>
                              <w:t>Review of State Priority Projects – Irrigated Farm Modernisation Project</w:t>
                            </w:r>
                          </w:p>
                          <w:p w14:paraId="2C75AEFF" w14:textId="77777777" w:rsidR="0026752F" w:rsidRPr="003D2AB7" w:rsidRDefault="0026752F" w:rsidP="00644B79">
                            <w:pPr>
                              <w:rPr>
                                <w:rFonts w:cstheme="minorHAnsi"/>
                                <w:color w:val="FFFFFF" w:themeColor="background1"/>
                                <w:sz w:val="44"/>
                              </w:rPr>
                            </w:pPr>
                          </w:p>
                          <w:p w14:paraId="39C724FC" w14:textId="77777777" w:rsidR="0026752F" w:rsidRPr="003D2AB7" w:rsidRDefault="0026752F" w:rsidP="00644B79">
                            <w:pPr>
                              <w:rPr>
                                <w:rFonts w:cstheme="minorHAnsi"/>
                                <w:color w:val="FFFFFF" w:themeColor="background1"/>
                                <w:sz w:val="44"/>
                              </w:rPr>
                            </w:pPr>
                            <w:r w:rsidRPr="003D2AB7">
                              <w:rPr>
                                <w:rFonts w:cstheme="minorHAnsi"/>
                                <w:color w:val="FFFFFF" w:themeColor="background1"/>
                                <w:sz w:val="44"/>
                              </w:rPr>
                              <w:t>Department of Agriculture and Water Resources</w:t>
                            </w:r>
                          </w:p>
                          <w:p w14:paraId="27E2A1CD" w14:textId="69D138F3" w:rsidR="0026752F" w:rsidRPr="003D2AB7" w:rsidRDefault="008C0BE4" w:rsidP="00644B79">
                            <w:pPr>
                              <w:rPr>
                                <w:rFonts w:cstheme="minorHAnsi"/>
                                <w:b/>
                                <w:color w:val="FFFFFF" w:themeColor="background1"/>
                                <w:sz w:val="36"/>
                              </w:rPr>
                            </w:pPr>
                            <w:r>
                              <w:rPr>
                                <w:rFonts w:cstheme="minorHAnsi"/>
                                <w:b/>
                                <w:color w:val="FFFFFF" w:themeColor="background1"/>
                                <w:sz w:val="36"/>
                              </w:rPr>
                              <w:t>Final</w:t>
                            </w:r>
                            <w:r w:rsidR="0026752F" w:rsidRPr="003D2AB7">
                              <w:rPr>
                                <w:rFonts w:cstheme="minorHAnsi"/>
                                <w:b/>
                                <w:color w:val="FFFFFF" w:themeColor="background1"/>
                                <w:sz w:val="36"/>
                              </w:rPr>
                              <w:t xml:space="preserve"> Report</w:t>
                            </w:r>
                          </w:p>
                          <w:p w14:paraId="3C660F89" w14:textId="77777777" w:rsidR="0026752F" w:rsidRPr="003D2AB7" w:rsidRDefault="0026752F" w:rsidP="00644B79">
                            <w:pPr>
                              <w:rPr>
                                <w:rFonts w:cstheme="minorHAnsi"/>
                                <w:color w:val="FFFFFF" w:themeColor="background1"/>
                                <w:sz w:val="32"/>
                              </w:rPr>
                            </w:pPr>
                            <w:r w:rsidRPr="003D2AB7">
                              <w:rPr>
                                <w:rFonts w:cstheme="minorHAnsi"/>
                                <w:color w:val="FFFFFF" w:themeColor="background1"/>
                                <w:sz w:val="32"/>
                              </w:rPr>
                              <w:t>December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48569" id="_x0000_t202" coordsize="21600,21600" o:spt="202" path="m,l,21600r21600,l21600,xe">
                <v:stroke joinstyle="miter"/>
                <v:path gradientshapeok="t" o:connecttype="rect"/>
              </v:shapetype>
              <v:shape id="Text Box 2" o:spid="_x0000_s1026" type="#_x0000_t202" style="position:absolute;margin-left:69.75pt;margin-top:12.75pt;width:477.75pt;height:56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9lKwIAADsEAAAOAAAAZHJzL2Uyb0RvYy54bWysU9uO2yAQfa/Uf0C8N3bcXHatOKtttqkq&#10;bS/Sbj8AYxyjAkOBxE6/vgNOsmn7VpUHBMzM4cyZmdXdoBU5COclmIpOJzklwnBopNlV9Nvz9s0N&#10;JT4w0zAFRlT0KDy9W79+teptKQroQDXCEQQxvuxtRbsQbJllnndCMz8BKwwaW3CaBby6XdY41iO6&#10;VlmR54usB9dYB1x4j68Po5GuE37bCh6+tK0XgaiKIreQdpf2Ou7ZesXKnWO2k/xEg/0DC82kwU8v&#10;UA8sMLJ38i8oLbkDD22YcNAZtK3kIuWA2UzzP7J56pgVKRcUx9uLTP7/wfLPh6+OyKaixXRJiWEa&#10;i/QshkDewUCKqE9vfYluTxYdw4DPWOeUq7ePwL97YmDTMbMT985B3wnWIL9pjMyuQkccH0Hq/hM0&#10;+A3bB0hAQ+t0FA/lIIiOdTpeahOpcHxc5IvlrJhTwtG2LPK3s1mqXsbKc7h1PnwQoEk8VNRh8RM8&#10;Ozz6EOmw8uwSf/OgZLOVSqWL29Ub5ciBYaNs0xpjle3Y+Hr+zo+uCe83DGVIX9HbObKMkAYieGow&#10;LQN2uZK6ojd5XGPfRa3emya5BCbVeEaaypzEi3qNyoWhHtAxKlpDc0QZHYzdjNOHhw7cT0p67OSK&#10;+h975gQl6qPBUtxOo1QkpMtsjtpR4q4t9bWFGY5QFQ2UjMdNSOMyZnSPJWtlEvOFyYkrdmjS5DRN&#10;cQSu78nrZebXvwAAAP//AwBQSwMEFAAGAAgAAAAhADduyO3fAAAADAEAAA8AAABkcnMvZG93bnJl&#10;di54bWxMT01Pg0AQvZv0P2zGxIuxSzEYQJbGNHowsSai3hd2BFp2lrDbFv99pyc9zby8l/dRrGc7&#10;iCNOvnekYLWMQCA1zvTUKvj6fLlLQfigyejBESr4RQ/rcnFV6Ny4E33gsQqtYBPyuVbQhTDmUvqm&#10;Q6v90o1IzP24yerAcGqlmfSJze0g4yh6kFb3xAmdHnHTYbOvDpZzn+d0/K7fNrvX6rbexe/Ub1NS&#10;6uZ6fnoEEXAOf2K41OfqUHKn2h3IeDEwvs8SliqIE74XQZQlvK7mb5VkGciykP9HlGcAAAD//wMA&#10;UEsBAi0AFAAGAAgAAAAhALaDOJL+AAAA4QEAABMAAAAAAAAAAAAAAAAAAAAAAFtDb250ZW50X1R5&#10;cGVzXS54bWxQSwECLQAUAAYACAAAACEAOP0h/9YAAACUAQAACwAAAAAAAAAAAAAAAAAvAQAAX3Jl&#10;bHMvLnJlbHNQSwECLQAUAAYACAAAACEAdSgPZSsCAAA7BAAADgAAAAAAAAAAAAAAAAAuAgAAZHJz&#10;L2Uyb0RvYy54bWxQSwECLQAUAAYACAAAACEAN27I7d8AAAAMAQAADwAAAAAAAAAAAAAAAACFBAAA&#10;ZHJzL2Rvd25yZXYueG1sUEsFBgAAAAAEAAQA8wAAAJEFAAAAAA==&#10;" stroked="f">
                <v:fill opacity="0"/>
                <v:textbox>
                  <w:txbxContent>
                    <w:p w14:paraId="0C1F6BC2" w14:textId="77777777" w:rsidR="0026752F" w:rsidRPr="003D2AB7" w:rsidRDefault="0026752F" w:rsidP="00644B79">
                      <w:pPr>
                        <w:spacing w:line="240" w:lineRule="auto"/>
                        <w:rPr>
                          <w:rFonts w:cstheme="minorHAnsi"/>
                          <w:color w:val="FFFFFF" w:themeColor="background1"/>
                          <w:sz w:val="96"/>
                          <w:szCs w:val="120"/>
                        </w:rPr>
                      </w:pPr>
                      <w:r w:rsidRPr="003D2AB7">
                        <w:rPr>
                          <w:rFonts w:cstheme="minorHAnsi"/>
                          <w:color w:val="FFFFFF" w:themeColor="background1"/>
                          <w:sz w:val="96"/>
                          <w:szCs w:val="120"/>
                        </w:rPr>
                        <w:t>Review of State Priority Projects – Irrigated Farm Modernisation Project</w:t>
                      </w:r>
                    </w:p>
                    <w:p w14:paraId="2C75AEFF" w14:textId="77777777" w:rsidR="0026752F" w:rsidRPr="003D2AB7" w:rsidRDefault="0026752F" w:rsidP="00644B79">
                      <w:pPr>
                        <w:rPr>
                          <w:rFonts w:cstheme="minorHAnsi"/>
                          <w:color w:val="FFFFFF" w:themeColor="background1"/>
                          <w:sz w:val="44"/>
                        </w:rPr>
                      </w:pPr>
                    </w:p>
                    <w:p w14:paraId="39C724FC" w14:textId="77777777" w:rsidR="0026752F" w:rsidRPr="003D2AB7" w:rsidRDefault="0026752F" w:rsidP="00644B79">
                      <w:pPr>
                        <w:rPr>
                          <w:rFonts w:cstheme="minorHAnsi"/>
                          <w:color w:val="FFFFFF" w:themeColor="background1"/>
                          <w:sz w:val="44"/>
                        </w:rPr>
                      </w:pPr>
                      <w:r w:rsidRPr="003D2AB7">
                        <w:rPr>
                          <w:rFonts w:cstheme="minorHAnsi"/>
                          <w:color w:val="FFFFFF" w:themeColor="background1"/>
                          <w:sz w:val="44"/>
                        </w:rPr>
                        <w:t>Department of Agriculture and Water Resources</w:t>
                      </w:r>
                    </w:p>
                    <w:p w14:paraId="27E2A1CD" w14:textId="69D138F3" w:rsidR="0026752F" w:rsidRPr="003D2AB7" w:rsidRDefault="008C0BE4" w:rsidP="00644B79">
                      <w:pPr>
                        <w:rPr>
                          <w:rFonts w:cstheme="minorHAnsi"/>
                          <w:b/>
                          <w:color w:val="FFFFFF" w:themeColor="background1"/>
                          <w:sz w:val="36"/>
                        </w:rPr>
                      </w:pPr>
                      <w:r>
                        <w:rPr>
                          <w:rFonts w:cstheme="minorHAnsi"/>
                          <w:b/>
                          <w:color w:val="FFFFFF" w:themeColor="background1"/>
                          <w:sz w:val="36"/>
                        </w:rPr>
                        <w:t>Final</w:t>
                      </w:r>
                      <w:r w:rsidR="0026752F" w:rsidRPr="003D2AB7">
                        <w:rPr>
                          <w:rFonts w:cstheme="minorHAnsi"/>
                          <w:b/>
                          <w:color w:val="FFFFFF" w:themeColor="background1"/>
                          <w:sz w:val="36"/>
                        </w:rPr>
                        <w:t xml:space="preserve"> Report</w:t>
                      </w:r>
                    </w:p>
                    <w:p w14:paraId="3C660F89" w14:textId="77777777" w:rsidR="0026752F" w:rsidRPr="003D2AB7" w:rsidRDefault="0026752F" w:rsidP="00644B79">
                      <w:pPr>
                        <w:rPr>
                          <w:rFonts w:cstheme="minorHAnsi"/>
                          <w:color w:val="FFFFFF" w:themeColor="background1"/>
                          <w:sz w:val="32"/>
                        </w:rPr>
                      </w:pPr>
                      <w:r w:rsidRPr="003D2AB7">
                        <w:rPr>
                          <w:rFonts w:cstheme="minorHAnsi"/>
                          <w:color w:val="FFFFFF" w:themeColor="background1"/>
                          <w:sz w:val="32"/>
                        </w:rPr>
                        <w:t>December 2018</w:t>
                      </w:r>
                    </w:p>
                  </w:txbxContent>
                </v:textbox>
                <w10:wrap type="tight" anchorx="margin"/>
              </v:shape>
            </w:pict>
          </mc:Fallback>
        </mc:AlternateContent>
      </w:r>
      <w:r w:rsidR="007F2D97" w:rsidRPr="003D2AB7">
        <w:rPr>
          <w:rFonts w:cstheme="minorHAnsi"/>
        </w:rPr>
        <w:tab/>
      </w:r>
      <w:r w:rsidR="00A93C43" w:rsidRPr="003D2AB7">
        <w:rPr>
          <w:rFonts w:cstheme="minorHAnsi"/>
        </w:rPr>
        <w:tab/>
      </w:r>
    </w:p>
    <w:p w14:paraId="76A6ED5B" w14:textId="77777777" w:rsidR="00993478" w:rsidRPr="003D2AB7" w:rsidRDefault="00993478" w:rsidP="007F2D97">
      <w:pPr>
        <w:tabs>
          <w:tab w:val="left" w:pos="9003"/>
        </w:tabs>
        <w:rPr>
          <w:rFonts w:cstheme="minorHAnsi"/>
        </w:rPr>
        <w:sectPr w:rsidR="00993478" w:rsidRPr="003D2AB7" w:rsidSect="00B86827">
          <w:type w:val="continuous"/>
          <w:pgSz w:w="11906" w:h="16838"/>
          <w:pgMar w:top="1440" w:right="1440" w:bottom="1440" w:left="0" w:header="567" w:footer="709" w:gutter="0"/>
          <w:cols w:space="708"/>
          <w:docGrid w:linePitch="360"/>
        </w:sectPr>
      </w:pPr>
    </w:p>
    <w:bookmarkStart w:id="1" w:name="_Toc523310457" w:displacedByCustomXml="next"/>
    <w:bookmarkStart w:id="2" w:name="_Toc521604938" w:displacedByCustomXml="next"/>
    <w:bookmarkStart w:id="3" w:name="_Toc522868833" w:displacedByCustomXml="next"/>
    <w:bookmarkStart w:id="4" w:name="_Toc515451807" w:displacedByCustomXml="next"/>
    <w:sdt>
      <w:sdtPr>
        <w:rPr>
          <w:rFonts w:asciiTheme="minorHAnsi" w:eastAsiaTheme="minorEastAsia" w:hAnsiTheme="minorHAnsi" w:cstheme="minorHAnsi"/>
          <w:b/>
          <w:lang w:eastAsia="zh-CN"/>
        </w:rPr>
        <w:id w:val="1152488339"/>
        <w:docPartObj>
          <w:docPartGallery w:val="Table of Contents"/>
          <w:docPartUnique/>
        </w:docPartObj>
      </w:sdtPr>
      <w:sdtEndPr>
        <w:rPr>
          <w:b w:val="0"/>
          <w:bCs/>
          <w:noProof/>
        </w:rPr>
      </w:sdtEndPr>
      <w:sdtContent>
        <w:p w14:paraId="7CECB8E3" w14:textId="77777777" w:rsidR="002A20A1" w:rsidRPr="003D2AB7" w:rsidRDefault="002A20A1" w:rsidP="007D0FB5">
          <w:pPr>
            <w:pStyle w:val="BodyText1"/>
            <w:spacing w:after="240"/>
            <w:rPr>
              <w:rFonts w:asciiTheme="minorHAnsi" w:hAnsiTheme="minorHAnsi" w:cstheme="minorHAnsi"/>
              <w:color w:val="0070C0"/>
            </w:rPr>
          </w:pPr>
          <w:r w:rsidRPr="003D2AB7">
            <w:rPr>
              <w:rFonts w:asciiTheme="minorHAnsi" w:hAnsiTheme="minorHAnsi" w:cstheme="minorHAnsi"/>
              <w:color w:val="0070C0"/>
              <w:sz w:val="96"/>
            </w:rPr>
            <w:t>Contents</w:t>
          </w:r>
          <w:bookmarkEnd w:id="3"/>
          <w:bookmarkEnd w:id="2"/>
          <w:bookmarkEnd w:id="1"/>
        </w:p>
        <w:p w14:paraId="275784F6" w14:textId="77777777" w:rsidR="000D6F4D" w:rsidRPr="003D2AB7" w:rsidRDefault="002A20A1">
          <w:pPr>
            <w:pStyle w:val="TOC1"/>
            <w:tabs>
              <w:tab w:val="left" w:pos="440"/>
              <w:tab w:val="right" w:leader="dot" w:pos="9485"/>
            </w:tabs>
            <w:rPr>
              <w:rFonts w:asciiTheme="minorHAnsi" w:hAnsiTheme="minorHAnsi" w:cstheme="minorHAnsi"/>
              <w:b w:val="0"/>
              <w:noProof/>
              <w:sz w:val="22"/>
              <w:lang w:eastAsia="en-AU"/>
            </w:rPr>
          </w:pPr>
          <w:r w:rsidRPr="003D2AB7">
            <w:rPr>
              <w:rFonts w:asciiTheme="minorHAnsi" w:hAnsiTheme="minorHAnsi" w:cstheme="minorHAnsi"/>
              <w:b w:val="0"/>
              <w:sz w:val="22"/>
            </w:rPr>
            <w:fldChar w:fldCharType="begin"/>
          </w:r>
          <w:r w:rsidRPr="003D2AB7">
            <w:rPr>
              <w:rFonts w:asciiTheme="minorHAnsi" w:hAnsiTheme="minorHAnsi" w:cstheme="minorHAnsi"/>
              <w:b w:val="0"/>
              <w:sz w:val="22"/>
            </w:rPr>
            <w:instrText xml:space="preserve"> TOC \o "1-2" \h \z \u </w:instrText>
          </w:r>
          <w:r w:rsidRPr="003D2AB7">
            <w:rPr>
              <w:rFonts w:asciiTheme="minorHAnsi" w:hAnsiTheme="minorHAnsi" w:cstheme="minorHAnsi"/>
              <w:b w:val="0"/>
              <w:sz w:val="22"/>
            </w:rPr>
            <w:fldChar w:fldCharType="separate"/>
          </w:r>
          <w:hyperlink w:anchor="_Toc532474944" w:history="1">
            <w:r w:rsidR="000D6F4D" w:rsidRPr="003D2AB7">
              <w:rPr>
                <w:rStyle w:val="Hyperlink"/>
                <w:rFonts w:asciiTheme="minorHAnsi" w:hAnsiTheme="minorHAnsi" w:cstheme="minorHAnsi"/>
                <w:noProof/>
              </w:rPr>
              <w:t>1</w:t>
            </w:r>
            <w:r w:rsidR="000D6F4D" w:rsidRPr="003D2AB7">
              <w:rPr>
                <w:rFonts w:asciiTheme="minorHAnsi" w:hAnsiTheme="minorHAnsi" w:cstheme="minorHAnsi"/>
                <w:b w:val="0"/>
                <w:noProof/>
                <w:sz w:val="22"/>
                <w:lang w:eastAsia="en-AU"/>
              </w:rPr>
              <w:tab/>
            </w:r>
            <w:r w:rsidR="000D6F4D" w:rsidRPr="003D2AB7">
              <w:rPr>
                <w:rStyle w:val="Hyperlink"/>
                <w:rFonts w:asciiTheme="minorHAnsi" w:hAnsiTheme="minorHAnsi" w:cstheme="minorHAnsi"/>
                <w:noProof/>
              </w:rPr>
              <w:t>Executive summary</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_Toc532474944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3</w:t>
            </w:r>
            <w:r w:rsidR="000D6F4D" w:rsidRPr="003D2AB7">
              <w:rPr>
                <w:rFonts w:asciiTheme="minorHAnsi" w:hAnsiTheme="minorHAnsi" w:cstheme="minorHAnsi"/>
                <w:noProof/>
                <w:webHidden/>
              </w:rPr>
              <w:fldChar w:fldCharType="end"/>
            </w:r>
          </w:hyperlink>
        </w:p>
        <w:p w14:paraId="63949DDE" w14:textId="77777777" w:rsidR="000D6F4D" w:rsidRPr="003D2AB7" w:rsidRDefault="00491FC1">
          <w:pPr>
            <w:pStyle w:val="TOC1"/>
            <w:tabs>
              <w:tab w:val="left" w:pos="440"/>
              <w:tab w:val="right" w:leader="dot" w:pos="9485"/>
            </w:tabs>
            <w:rPr>
              <w:rFonts w:asciiTheme="minorHAnsi" w:hAnsiTheme="minorHAnsi" w:cstheme="minorHAnsi"/>
              <w:b w:val="0"/>
              <w:noProof/>
              <w:sz w:val="22"/>
              <w:lang w:eastAsia="en-AU"/>
            </w:rPr>
          </w:pPr>
          <w:hyperlink w:anchor="_Toc532474945" w:history="1">
            <w:r w:rsidR="000D6F4D" w:rsidRPr="003D2AB7">
              <w:rPr>
                <w:rStyle w:val="Hyperlink"/>
                <w:rFonts w:asciiTheme="minorHAnsi" w:hAnsiTheme="minorHAnsi" w:cstheme="minorHAnsi"/>
                <w:noProof/>
              </w:rPr>
              <w:t>2</w:t>
            </w:r>
            <w:r w:rsidR="000D6F4D" w:rsidRPr="003D2AB7">
              <w:rPr>
                <w:rFonts w:asciiTheme="minorHAnsi" w:hAnsiTheme="minorHAnsi" w:cstheme="minorHAnsi"/>
                <w:b w:val="0"/>
                <w:noProof/>
                <w:sz w:val="22"/>
                <w:lang w:eastAsia="en-AU"/>
              </w:rPr>
              <w:tab/>
            </w:r>
            <w:r w:rsidR="000D6F4D" w:rsidRPr="003D2AB7">
              <w:rPr>
                <w:rStyle w:val="Hyperlink"/>
                <w:rFonts w:asciiTheme="minorHAnsi" w:hAnsiTheme="minorHAnsi" w:cstheme="minorHAnsi"/>
                <w:noProof/>
              </w:rPr>
              <w:t>Introduction</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_Toc532474945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4</w:t>
            </w:r>
            <w:r w:rsidR="000D6F4D" w:rsidRPr="003D2AB7">
              <w:rPr>
                <w:rFonts w:asciiTheme="minorHAnsi" w:hAnsiTheme="minorHAnsi" w:cstheme="minorHAnsi"/>
                <w:noProof/>
                <w:webHidden/>
              </w:rPr>
              <w:fldChar w:fldCharType="end"/>
            </w:r>
          </w:hyperlink>
        </w:p>
        <w:p w14:paraId="577938F2"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46" w:history="1">
            <w:r w:rsidR="000D6F4D" w:rsidRPr="003D2AB7">
              <w:rPr>
                <w:rStyle w:val="Hyperlink"/>
                <w:rFonts w:asciiTheme="minorHAnsi" w:hAnsiTheme="minorHAnsi" w:cstheme="minorHAnsi"/>
                <w:noProof/>
              </w:rPr>
              <w:t>2.1</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Background</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_Toc532474946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4</w:t>
            </w:r>
            <w:r w:rsidR="000D6F4D" w:rsidRPr="003D2AB7">
              <w:rPr>
                <w:rFonts w:asciiTheme="minorHAnsi" w:hAnsiTheme="minorHAnsi" w:cstheme="minorHAnsi"/>
                <w:noProof/>
                <w:webHidden/>
              </w:rPr>
              <w:fldChar w:fldCharType="end"/>
            </w:r>
          </w:hyperlink>
        </w:p>
        <w:p w14:paraId="608A79F3"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47" w:history="1">
            <w:r w:rsidR="000D6F4D" w:rsidRPr="003D2AB7">
              <w:rPr>
                <w:rStyle w:val="Hyperlink"/>
                <w:rFonts w:asciiTheme="minorHAnsi" w:hAnsiTheme="minorHAnsi" w:cstheme="minorHAnsi"/>
                <w:noProof/>
              </w:rPr>
              <w:t>2.2</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Purpose of this report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_Toc532474947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4</w:t>
            </w:r>
            <w:r w:rsidR="000D6F4D" w:rsidRPr="003D2AB7">
              <w:rPr>
                <w:rFonts w:asciiTheme="minorHAnsi" w:hAnsiTheme="minorHAnsi" w:cstheme="minorHAnsi"/>
                <w:noProof/>
                <w:webHidden/>
              </w:rPr>
              <w:fldChar w:fldCharType="end"/>
            </w:r>
          </w:hyperlink>
        </w:p>
        <w:p w14:paraId="3B75378B"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48" w:history="1">
            <w:r w:rsidR="000D6F4D" w:rsidRPr="003D2AB7">
              <w:rPr>
                <w:rStyle w:val="Hyperlink"/>
                <w:rFonts w:asciiTheme="minorHAnsi" w:hAnsiTheme="minorHAnsi" w:cstheme="minorHAnsi"/>
                <w:noProof/>
              </w:rPr>
              <w:t>2.3</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Approach to this review</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_Toc532474948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5</w:t>
            </w:r>
            <w:r w:rsidR="000D6F4D" w:rsidRPr="003D2AB7">
              <w:rPr>
                <w:rFonts w:asciiTheme="minorHAnsi" w:hAnsiTheme="minorHAnsi" w:cstheme="minorHAnsi"/>
                <w:noProof/>
                <w:webHidden/>
              </w:rPr>
              <w:fldChar w:fldCharType="end"/>
            </w:r>
          </w:hyperlink>
        </w:p>
        <w:p w14:paraId="1AE0A84A"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49" w:history="1">
            <w:r w:rsidR="000D6F4D" w:rsidRPr="003D2AB7">
              <w:rPr>
                <w:rStyle w:val="Hyperlink"/>
                <w:rFonts w:asciiTheme="minorHAnsi" w:hAnsiTheme="minorHAnsi" w:cstheme="minorHAnsi"/>
                <w:noProof/>
              </w:rPr>
              <w:t>2.4</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Summary of assessment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_Toc532474949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5</w:t>
            </w:r>
            <w:r w:rsidR="000D6F4D" w:rsidRPr="003D2AB7">
              <w:rPr>
                <w:rFonts w:asciiTheme="minorHAnsi" w:hAnsiTheme="minorHAnsi" w:cstheme="minorHAnsi"/>
                <w:noProof/>
                <w:webHidden/>
              </w:rPr>
              <w:fldChar w:fldCharType="end"/>
            </w:r>
          </w:hyperlink>
        </w:p>
        <w:p w14:paraId="37A4DBBA" w14:textId="77777777" w:rsidR="000D6F4D" w:rsidRPr="003D2AB7" w:rsidRDefault="00491FC1">
          <w:pPr>
            <w:pStyle w:val="TOC1"/>
            <w:tabs>
              <w:tab w:val="left" w:pos="440"/>
              <w:tab w:val="right" w:leader="dot" w:pos="9485"/>
            </w:tabs>
            <w:rPr>
              <w:rFonts w:asciiTheme="minorHAnsi" w:hAnsiTheme="minorHAnsi" w:cstheme="minorHAnsi"/>
              <w:b w:val="0"/>
              <w:noProof/>
              <w:sz w:val="22"/>
              <w:lang w:eastAsia="en-AU"/>
            </w:rPr>
          </w:pPr>
          <w:hyperlink w:anchor="_Toc532474950" w:history="1">
            <w:r w:rsidR="000D6F4D" w:rsidRPr="003D2AB7">
              <w:rPr>
                <w:rStyle w:val="Hyperlink"/>
                <w:rFonts w:asciiTheme="minorHAnsi" w:hAnsiTheme="minorHAnsi" w:cstheme="minorHAnsi"/>
                <w:noProof/>
              </w:rPr>
              <w:t>3</w:t>
            </w:r>
            <w:r w:rsidR="000D6F4D" w:rsidRPr="003D2AB7">
              <w:rPr>
                <w:rFonts w:asciiTheme="minorHAnsi" w:hAnsiTheme="minorHAnsi" w:cstheme="minorHAnsi"/>
                <w:b w:val="0"/>
                <w:noProof/>
                <w:sz w:val="22"/>
                <w:lang w:eastAsia="en-AU"/>
              </w:rPr>
              <w:tab/>
            </w:r>
            <w:r w:rsidR="000D6F4D" w:rsidRPr="003D2AB7">
              <w:rPr>
                <w:rStyle w:val="Hyperlink"/>
                <w:rFonts w:asciiTheme="minorHAnsi" w:hAnsiTheme="minorHAnsi" w:cstheme="minorHAnsi"/>
                <w:noProof/>
              </w:rPr>
              <w:t>Findings and observations</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_Toc532474950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7</w:t>
            </w:r>
            <w:r w:rsidR="000D6F4D" w:rsidRPr="003D2AB7">
              <w:rPr>
                <w:rFonts w:asciiTheme="minorHAnsi" w:hAnsiTheme="minorHAnsi" w:cstheme="minorHAnsi"/>
                <w:noProof/>
                <w:webHidden/>
              </w:rPr>
              <w:fldChar w:fldCharType="end"/>
            </w:r>
          </w:hyperlink>
        </w:p>
        <w:p w14:paraId="4A8E34ED"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1" w:history="1">
            <w:r w:rsidR="000D6F4D" w:rsidRPr="003D2AB7">
              <w:rPr>
                <w:rStyle w:val="Hyperlink"/>
                <w:rFonts w:asciiTheme="minorHAnsi" w:hAnsiTheme="minorHAnsi" w:cstheme="minorHAnsi"/>
                <w:noProof/>
              </w:rPr>
              <w:t>3.1</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Governance and reporting</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_Toc532474951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7</w:t>
            </w:r>
            <w:r w:rsidR="000D6F4D" w:rsidRPr="003D2AB7">
              <w:rPr>
                <w:rFonts w:asciiTheme="minorHAnsi" w:hAnsiTheme="minorHAnsi" w:cstheme="minorHAnsi"/>
                <w:noProof/>
                <w:webHidden/>
              </w:rPr>
              <w:fldChar w:fldCharType="end"/>
            </w:r>
          </w:hyperlink>
        </w:p>
        <w:p w14:paraId="4C915771"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2" w:history="1">
            <w:r w:rsidR="000D6F4D" w:rsidRPr="003D2AB7">
              <w:rPr>
                <w:rStyle w:val="Hyperlink"/>
                <w:rFonts w:asciiTheme="minorHAnsi" w:hAnsiTheme="minorHAnsi" w:cstheme="minorHAnsi"/>
                <w:noProof/>
              </w:rPr>
              <w:t>3.2</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Assessment of applications</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_Toc532474952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8</w:t>
            </w:r>
            <w:r w:rsidR="000D6F4D" w:rsidRPr="003D2AB7">
              <w:rPr>
                <w:rFonts w:asciiTheme="minorHAnsi" w:hAnsiTheme="minorHAnsi" w:cstheme="minorHAnsi"/>
                <w:noProof/>
                <w:webHidden/>
              </w:rPr>
              <w:fldChar w:fldCharType="end"/>
            </w:r>
          </w:hyperlink>
        </w:p>
        <w:p w14:paraId="7ED460BD"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3" w:history="1">
            <w:r w:rsidR="000D6F4D" w:rsidRPr="003D2AB7">
              <w:rPr>
                <w:rStyle w:val="Hyperlink"/>
                <w:rFonts w:asciiTheme="minorHAnsi" w:hAnsiTheme="minorHAnsi" w:cstheme="minorHAnsi"/>
                <w:noProof/>
              </w:rPr>
              <w:t>3.3</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Risk and issue management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_Toc532474953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9</w:t>
            </w:r>
            <w:r w:rsidR="000D6F4D" w:rsidRPr="003D2AB7">
              <w:rPr>
                <w:rFonts w:asciiTheme="minorHAnsi" w:hAnsiTheme="minorHAnsi" w:cstheme="minorHAnsi"/>
                <w:noProof/>
                <w:webHidden/>
              </w:rPr>
              <w:fldChar w:fldCharType="end"/>
            </w:r>
          </w:hyperlink>
        </w:p>
        <w:p w14:paraId="349038EF"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4" w:history="1">
            <w:r w:rsidR="000D6F4D" w:rsidRPr="003D2AB7">
              <w:rPr>
                <w:rStyle w:val="Hyperlink"/>
                <w:rFonts w:asciiTheme="minorHAnsi" w:hAnsiTheme="minorHAnsi" w:cstheme="minorHAnsi"/>
                <w:noProof/>
              </w:rPr>
              <w:t>3.4</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Financial management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_Toc532474954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9</w:t>
            </w:r>
            <w:r w:rsidR="000D6F4D" w:rsidRPr="003D2AB7">
              <w:rPr>
                <w:rFonts w:asciiTheme="minorHAnsi" w:hAnsiTheme="minorHAnsi" w:cstheme="minorHAnsi"/>
                <w:noProof/>
                <w:webHidden/>
              </w:rPr>
              <w:fldChar w:fldCharType="end"/>
            </w:r>
          </w:hyperlink>
        </w:p>
        <w:p w14:paraId="1BE4EF7C"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5" w:history="1">
            <w:r w:rsidR="000D6F4D" w:rsidRPr="003D2AB7">
              <w:rPr>
                <w:rStyle w:val="Hyperlink"/>
                <w:rFonts w:asciiTheme="minorHAnsi" w:hAnsiTheme="minorHAnsi" w:cstheme="minorHAnsi"/>
                <w:noProof/>
              </w:rPr>
              <w:t>3.5</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Stakeholder engagement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_Toc532474955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10</w:t>
            </w:r>
            <w:r w:rsidR="000D6F4D" w:rsidRPr="003D2AB7">
              <w:rPr>
                <w:rFonts w:asciiTheme="minorHAnsi" w:hAnsiTheme="minorHAnsi" w:cstheme="minorHAnsi"/>
                <w:noProof/>
                <w:webHidden/>
              </w:rPr>
              <w:fldChar w:fldCharType="end"/>
            </w:r>
          </w:hyperlink>
        </w:p>
        <w:p w14:paraId="38C4268A"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6" w:history="1">
            <w:r w:rsidR="000D6F4D" w:rsidRPr="003D2AB7">
              <w:rPr>
                <w:rStyle w:val="Hyperlink"/>
                <w:rFonts w:asciiTheme="minorHAnsi" w:hAnsiTheme="minorHAnsi" w:cstheme="minorHAnsi"/>
                <w:noProof/>
              </w:rPr>
              <w:t>3.6</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Water transfer</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_Toc532474956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11</w:t>
            </w:r>
            <w:r w:rsidR="000D6F4D" w:rsidRPr="003D2AB7">
              <w:rPr>
                <w:rFonts w:asciiTheme="minorHAnsi" w:hAnsiTheme="minorHAnsi" w:cstheme="minorHAnsi"/>
                <w:noProof/>
                <w:webHidden/>
              </w:rPr>
              <w:fldChar w:fldCharType="end"/>
            </w:r>
          </w:hyperlink>
        </w:p>
        <w:p w14:paraId="58074257"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7" w:history="1">
            <w:r w:rsidR="000D6F4D" w:rsidRPr="003D2AB7">
              <w:rPr>
                <w:rStyle w:val="Hyperlink"/>
                <w:rFonts w:asciiTheme="minorHAnsi" w:hAnsiTheme="minorHAnsi" w:cstheme="minorHAnsi"/>
                <w:noProof/>
              </w:rPr>
              <w:t>3.7</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Project management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_Toc532474957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11</w:t>
            </w:r>
            <w:r w:rsidR="000D6F4D" w:rsidRPr="003D2AB7">
              <w:rPr>
                <w:rFonts w:asciiTheme="minorHAnsi" w:hAnsiTheme="minorHAnsi" w:cstheme="minorHAnsi"/>
                <w:noProof/>
                <w:webHidden/>
              </w:rPr>
              <w:fldChar w:fldCharType="end"/>
            </w:r>
          </w:hyperlink>
        </w:p>
        <w:p w14:paraId="2988E504"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58" w:history="1">
            <w:r w:rsidR="000D6F4D" w:rsidRPr="003D2AB7">
              <w:rPr>
                <w:rStyle w:val="Hyperlink"/>
                <w:rFonts w:asciiTheme="minorHAnsi" w:hAnsiTheme="minorHAnsi" w:cstheme="minorHAnsi"/>
                <w:noProof/>
              </w:rPr>
              <w:t>3.8</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On-ground verification</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_Toc532474958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14</w:t>
            </w:r>
            <w:r w:rsidR="000D6F4D" w:rsidRPr="003D2AB7">
              <w:rPr>
                <w:rFonts w:asciiTheme="minorHAnsi" w:hAnsiTheme="minorHAnsi" w:cstheme="minorHAnsi"/>
                <w:noProof/>
                <w:webHidden/>
              </w:rPr>
              <w:fldChar w:fldCharType="end"/>
            </w:r>
          </w:hyperlink>
        </w:p>
        <w:p w14:paraId="03C68307" w14:textId="77777777" w:rsidR="000D6F4D" w:rsidRPr="003D2AB7" w:rsidRDefault="00491FC1">
          <w:pPr>
            <w:pStyle w:val="TOC1"/>
            <w:tabs>
              <w:tab w:val="left" w:pos="440"/>
              <w:tab w:val="right" w:leader="dot" w:pos="9485"/>
            </w:tabs>
            <w:rPr>
              <w:rFonts w:asciiTheme="minorHAnsi" w:hAnsiTheme="minorHAnsi" w:cstheme="minorHAnsi"/>
              <w:b w:val="0"/>
              <w:noProof/>
              <w:sz w:val="22"/>
              <w:lang w:eastAsia="en-AU"/>
            </w:rPr>
          </w:pPr>
          <w:hyperlink w:anchor="_Toc532474959" w:history="1">
            <w:r w:rsidR="000D6F4D" w:rsidRPr="003D2AB7">
              <w:rPr>
                <w:rStyle w:val="Hyperlink"/>
                <w:rFonts w:asciiTheme="minorHAnsi" w:hAnsiTheme="minorHAnsi" w:cstheme="minorHAnsi"/>
                <w:noProof/>
              </w:rPr>
              <w:t>4</w:t>
            </w:r>
            <w:r w:rsidR="000D6F4D" w:rsidRPr="003D2AB7">
              <w:rPr>
                <w:rFonts w:asciiTheme="minorHAnsi" w:hAnsiTheme="minorHAnsi" w:cstheme="minorHAnsi"/>
                <w:b w:val="0"/>
                <w:noProof/>
                <w:sz w:val="22"/>
                <w:lang w:eastAsia="en-AU"/>
              </w:rPr>
              <w:tab/>
            </w:r>
            <w:r w:rsidR="000D6F4D" w:rsidRPr="003D2AB7">
              <w:rPr>
                <w:rStyle w:val="Hyperlink"/>
                <w:rFonts w:asciiTheme="minorHAnsi" w:hAnsiTheme="minorHAnsi" w:cstheme="minorHAnsi"/>
                <w:noProof/>
              </w:rPr>
              <w:t>Areas for improvement &amp; lessons learnt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_Toc532474959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15</w:t>
            </w:r>
            <w:r w:rsidR="000D6F4D" w:rsidRPr="003D2AB7">
              <w:rPr>
                <w:rFonts w:asciiTheme="minorHAnsi" w:hAnsiTheme="minorHAnsi" w:cstheme="minorHAnsi"/>
                <w:noProof/>
                <w:webHidden/>
              </w:rPr>
              <w:fldChar w:fldCharType="end"/>
            </w:r>
          </w:hyperlink>
        </w:p>
        <w:p w14:paraId="719D5C56"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60" w:history="1">
            <w:r w:rsidR="000D6F4D" w:rsidRPr="003D2AB7">
              <w:rPr>
                <w:rStyle w:val="Hyperlink"/>
                <w:rFonts w:asciiTheme="minorHAnsi" w:hAnsiTheme="minorHAnsi" w:cstheme="minorHAnsi"/>
                <w:noProof/>
              </w:rPr>
              <w:t>4.1</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Risk and issue management</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_Toc532474960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15</w:t>
            </w:r>
            <w:r w:rsidR="000D6F4D" w:rsidRPr="003D2AB7">
              <w:rPr>
                <w:rFonts w:asciiTheme="minorHAnsi" w:hAnsiTheme="minorHAnsi" w:cstheme="minorHAnsi"/>
                <w:noProof/>
                <w:webHidden/>
              </w:rPr>
              <w:fldChar w:fldCharType="end"/>
            </w:r>
          </w:hyperlink>
        </w:p>
        <w:p w14:paraId="3CEC434E"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61" w:history="1">
            <w:r w:rsidR="000D6F4D" w:rsidRPr="003D2AB7">
              <w:rPr>
                <w:rStyle w:val="Hyperlink"/>
                <w:rFonts w:asciiTheme="minorHAnsi" w:hAnsiTheme="minorHAnsi" w:cstheme="minorHAnsi"/>
                <w:noProof/>
              </w:rPr>
              <w:t>4.2</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Proponent payment processing</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_Toc532474961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15</w:t>
            </w:r>
            <w:r w:rsidR="000D6F4D" w:rsidRPr="003D2AB7">
              <w:rPr>
                <w:rFonts w:asciiTheme="minorHAnsi" w:hAnsiTheme="minorHAnsi" w:cstheme="minorHAnsi"/>
                <w:noProof/>
                <w:webHidden/>
              </w:rPr>
              <w:fldChar w:fldCharType="end"/>
            </w:r>
          </w:hyperlink>
        </w:p>
        <w:p w14:paraId="4EDEEF1C"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62" w:history="1">
            <w:r w:rsidR="000D6F4D" w:rsidRPr="003D2AB7">
              <w:rPr>
                <w:rStyle w:val="Hyperlink"/>
                <w:rFonts w:asciiTheme="minorHAnsi" w:hAnsiTheme="minorHAnsi" w:cstheme="minorHAnsi"/>
                <w:noProof/>
              </w:rPr>
              <w:t>4.3</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Progress reporting</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_Toc532474962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15</w:t>
            </w:r>
            <w:r w:rsidR="000D6F4D" w:rsidRPr="003D2AB7">
              <w:rPr>
                <w:rFonts w:asciiTheme="minorHAnsi" w:hAnsiTheme="minorHAnsi" w:cstheme="minorHAnsi"/>
                <w:noProof/>
                <w:webHidden/>
              </w:rPr>
              <w:fldChar w:fldCharType="end"/>
            </w:r>
          </w:hyperlink>
        </w:p>
        <w:p w14:paraId="5987F4F7" w14:textId="77777777" w:rsidR="000D6F4D" w:rsidRPr="003D2AB7" w:rsidRDefault="00491FC1">
          <w:pPr>
            <w:pStyle w:val="TOC2"/>
            <w:tabs>
              <w:tab w:val="left" w:pos="880"/>
              <w:tab w:val="right" w:leader="dot" w:pos="9485"/>
            </w:tabs>
            <w:rPr>
              <w:rFonts w:asciiTheme="minorHAnsi" w:hAnsiTheme="minorHAnsi" w:cstheme="minorHAnsi"/>
              <w:noProof/>
              <w:lang w:eastAsia="en-AU"/>
            </w:rPr>
          </w:pPr>
          <w:hyperlink w:anchor="_Toc532474963" w:history="1">
            <w:r w:rsidR="000D6F4D" w:rsidRPr="003D2AB7">
              <w:rPr>
                <w:rStyle w:val="Hyperlink"/>
                <w:rFonts w:asciiTheme="minorHAnsi" w:hAnsiTheme="minorHAnsi" w:cstheme="minorHAnsi"/>
                <w:noProof/>
              </w:rPr>
              <w:t>4.4</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Insurance certificates of currency</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_Toc532474963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16</w:t>
            </w:r>
            <w:r w:rsidR="000D6F4D" w:rsidRPr="003D2AB7">
              <w:rPr>
                <w:rFonts w:asciiTheme="minorHAnsi" w:hAnsiTheme="minorHAnsi" w:cstheme="minorHAnsi"/>
                <w:noProof/>
                <w:webHidden/>
              </w:rPr>
              <w:fldChar w:fldCharType="end"/>
            </w:r>
          </w:hyperlink>
        </w:p>
        <w:p w14:paraId="4FCD81DE" w14:textId="77777777" w:rsidR="000D6F4D" w:rsidRPr="003D2AB7" w:rsidRDefault="00491FC1">
          <w:pPr>
            <w:pStyle w:val="TOC1"/>
            <w:tabs>
              <w:tab w:val="right" w:leader="dot" w:pos="9485"/>
            </w:tabs>
            <w:rPr>
              <w:rFonts w:asciiTheme="minorHAnsi" w:hAnsiTheme="minorHAnsi" w:cstheme="minorHAnsi"/>
              <w:b w:val="0"/>
              <w:noProof/>
              <w:sz w:val="22"/>
              <w:lang w:eastAsia="en-AU"/>
            </w:rPr>
          </w:pPr>
          <w:hyperlink w:anchor="_Toc532474964" w:history="1">
            <w:r w:rsidR="000D6F4D" w:rsidRPr="003D2AB7">
              <w:rPr>
                <w:rStyle w:val="Hyperlink"/>
                <w:rFonts w:asciiTheme="minorHAnsi" w:hAnsiTheme="minorHAnsi" w:cstheme="minorHAnsi"/>
                <w:noProof/>
              </w:rPr>
              <w:t>Appendices</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_Toc532474964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17</w:t>
            </w:r>
            <w:r w:rsidR="000D6F4D" w:rsidRPr="003D2AB7">
              <w:rPr>
                <w:rFonts w:asciiTheme="minorHAnsi" w:hAnsiTheme="minorHAnsi" w:cstheme="minorHAnsi"/>
                <w:noProof/>
                <w:webHidden/>
              </w:rPr>
              <w:fldChar w:fldCharType="end"/>
            </w:r>
          </w:hyperlink>
        </w:p>
        <w:p w14:paraId="19FC0F32" w14:textId="77777777" w:rsidR="000D6F4D" w:rsidRPr="003D2AB7" w:rsidRDefault="00491FC1">
          <w:pPr>
            <w:pStyle w:val="TOC2"/>
            <w:tabs>
              <w:tab w:val="left" w:pos="660"/>
              <w:tab w:val="right" w:leader="dot" w:pos="9485"/>
            </w:tabs>
            <w:rPr>
              <w:rFonts w:asciiTheme="minorHAnsi" w:hAnsiTheme="minorHAnsi" w:cstheme="minorHAnsi"/>
              <w:noProof/>
              <w:lang w:eastAsia="en-AU"/>
            </w:rPr>
          </w:pPr>
          <w:hyperlink w:anchor="_Toc532474965" w:history="1">
            <w:r w:rsidR="000D6F4D" w:rsidRPr="003D2AB7">
              <w:rPr>
                <w:rStyle w:val="Hyperlink"/>
                <w:rFonts w:asciiTheme="minorHAnsi" w:hAnsiTheme="minorHAnsi" w:cstheme="minorHAnsi"/>
                <w:noProof/>
              </w:rPr>
              <w:t>A.</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Engagement objectives and scope</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_Toc532474965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17</w:t>
            </w:r>
            <w:r w:rsidR="000D6F4D" w:rsidRPr="003D2AB7">
              <w:rPr>
                <w:rFonts w:asciiTheme="minorHAnsi" w:hAnsiTheme="minorHAnsi" w:cstheme="minorHAnsi"/>
                <w:noProof/>
                <w:webHidden/>
              </w:rPr>
              <w:fldChar w:fldCharType="end"/>
            </w:r>
          </w:hyperlink>
        </w:p>
        <w:p w14:paraId="75DFBA11" w14:textId="77777777" w:rsidR="000D6F4D" w:rsidRPr="003D2AB7" w:rsidRDefault="00491FC1">
          <w:pPr>
            <w:pStyle w:val="TOC2"/>
            <w:tabs>
              <w:tab w:val="left" w:pos="660"/>
              <w:tab w:val="right" w:leader="dot" w:pos="9485"/>
            </w:tabs>
            <w:rPr>
              <w:rFonts w:asciiTheme="minorHAnsi" w:hAnsiTheme="minorHAnsi" w:cstheme="minorHAnsi"/>
              <w:noProof/>
              <w:lang w:eastAsia="en-AU"/>
            </w:rPr>
          </w:pPr>
          <w:hyperlink w:anchor="_Toc532474966" w:history="1">
            <w:r w:rsidR="000D6F4D" w:rsidRPr="003D2AB7">
              <w:rPr>
                <w:rStyle w:val="Hyperlink"/>
                <w:rFonts w:asciiTheme="minorHAnsi" w:hAnsiTheme="minorHAnsi" w:cstheme="minorHAnsi"/>
                <w:noProof/>
              </w:rPr>
              <w:t>B.</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Approach</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_Toc532474966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18</w:t>
            </w:r>
            <w:r w:rsidR="000D6F4D" w:rsidRPr="003D2AB7">
              <w:rPr>
                <w:rFonts w:asciiTheme="minorHAnsi" w:hAnsiTheme="minorHAnsi" w:cstheme="minorHAnsi"/>
                <w:noProof/>
                <w:webHidden/>
              </w:rPr>
              <w:fldChar w:fldCharType="end"/>
            </w:r>
          </w:hyperlink>
        </w:p>
        <w:p w14:paraId="22F21444" w14:textId="77777777" w:rsidR="000D6F4D" w:rsidRPr="003D2AB7" w:rsidRDefault="00491FC1">
          <w:pPr>
            <w:pStyle w:val="TOC2"/>
            <w:tabs>
              <w:tab w:val="left" w:pos="660"/>
              <w:tab w:val="right" w:leader="dot" w:pos="9485"/>
            </w:tabs>
            <w:rPr>
              <w:rFonts w:asciiTheme="minorHAnsi" w:hAnsiTheme="minorHAnsi" w:cstheme="minorHAnsi"/>
              <w:noProof/>
              <w:lang w:eastAsia="en-AU"/>
            </w:rPr>
          </w:pPr>
          <w:hyperlink w:anchor="_Toc532474967" w:history="1">
            <w:r w:rsidR="000D6F4D" w:rsidRPr="003D2AB7">
              <w:rPr>
                <w:rStyle w:val="Hyperlink"/>
                <w:rFonts w:asciiTheme="minorHAnsi" w:hAnsiTheme="minorHAnsi" w:cstheme="minorHAnsi"/>
                <w:noProof/>
              </w:rPr>
              <w:t>C.</w:t>
            </w:r>
            <w:r w:rsidR="000D6F4D" w:rsidRPr="003D2AB7">
              <w:rPr>
                <w:rFonts w:asciiTheme="minorHAnsi" w:hAnsiTheme="minorHAnsi" w:cstheme="minorHAnsi"/>
                <w:noProof/>
                <w:lang w:eastAsia="en-AU"/>
              </w:rPr>
              <w:tab/>
            </w:r>
            <w:r w:rsidR="000D6F4D" w:rsidRPr="003D2AB7">
              <w:rPr>
                <w:rStyle w:val="Hyperlink"/>
                <w:rFonts w:asciiTheme="minorHAnsi" w:hAnsiTheme="minorHAnsi" w:cstheme="minorHAnsi"/>
                <w:noProof/>
              </w:rPr>
              <w:t>Disclaimer</w:t>
            </w:r>
            <w:r w:rsidR="000D6F4D" w:rsidRPr="003D2AB7">
              <w:rPr>
                <w:rFonts w:asciiTheme="minorHAnsi" w:hAnsiTheme="minorHAnsi" w:cstheme="minorHAnsi"/>
                <w:noProof/>
                <w:webHidden/>
              </w:rPr>
              <w:tab/>
            </w:r>
            <w:r w:rsidR="000D6F4D" w:rsidRPr="003D2AB7">
              <w:rPr>
                <w:rFonts w:asciiTheme="minorHAnsi" w:hAnsiTheme="minorHAnsi" w:cstheme="minorHAnsi"/>
                <w:noProof/>
                <w:webHidden/>
              </w:rPr>
              <w:fldChar w:fldCharType="begin"/>
            </w:r>
            <w:r w:rsidR="000D6F4D" w:rsidRPr="003D2AB7">
              <w:rPr>
                <w:rFonts w:asciiTheme="minorHAnsi" w:hAnsiTheme="minorHAnsi" w:cstheme="minorHAnsi"/>
                <w:noProof/>
                <w:webHidden/>
              </w:rPr>
              <w:instrText xml:space="preserve"> PAGEREF _Toc532474967 \h </w:instrText>
            </w:r>
            <w:r w:rsidR="000D6F4D" w:rsidRPr="003D2AB7">
              <w:rPr>
                <w:rFonts w:asciiTheme="minorHAnsi" w:hAnsiTheme="minorHAnsi" w:cstheme="minorHAnsi"/>
                <w:noProof/>
                <w:webHidden/>
              </w:rPr>
            </w:r>
            <w:r w:rsidR="000D6F4D" w:rsidRPr="003D2AB7">
              <w:rPr>
                <w:rFonts w:asciiTheme="minorHAnsi" w:hAnsiTheme="minorHAnsi" w:cstheme="minorHAnsi"/>
                <w:noProof/>
                <w:webHidden/>
              </w:rPr>
              <w:fldChar w:fldCharType="separate"/>
            </w:r>
            <w:r w:rsidR="003D2AB7">
              <w:rPr>
                <w:rFonts w:asciiTheme="minorHAnsi" w:hAnsiTheme="minorHAnsi" w:cstheme="minorHAnsi"/>
                <w:noProof/>
                <w:webHidden/>
              </w:rPr>
              <w:t>19</w:t>
            </w:r>
            <w:r w:rsidR="000D6F4D" w:rsidRPr="003D2AB7">
              <w:rPr>
                <w:rFonts w:asciiTheme="minorHAnsi" w:hAnsiTheme="minorHAnsi" w:cstheme="minorHAnsi"/>
                <w:noProof/>
                <w:webHidden/>
              </w:rPr>
              <w:fldChar w:fldCharType="end"/>
            </w:r>
          </w:hyperlink>
        </w:p>
        <w:p w14:paraId="22493B1A" w14:textId="77777777" w:rsidR="002A20A1" w:rsidRPr="003D2AB7" w:rsidRDefault="002A20A1" w:rsidP="002A20A1">
          <w:pPr>
            <w:spacing w:before="60" w:after="60" w:line="240" w:lineRule="auto"/>
            <w:rPr>
              <w:rFonts w:cstheme="minorHAnsi"/>
            </w:rPr>
          </w:pPr>
          <w:r w:rsidRPr="003D2AB7">
            <w:rPr>
              <w:rFonts w:cstheme="minorHAnsi"/>
              <w:b/>
            </w:rPr>
            <w:fldChar w:fldCharType="end"/>
          </w:r>
        </w:p>
      </w:sdtContent>
    </w:sdt>
    <w:p w14:paraId="6E6D218B" w14:textId="77777777" w:rsidR="002A20A1" w:rsidRPr="003D2AB7" w:rsidRDefault="002A20A1" w:rsidP="00336886">
      <w:pPr>
        <w:pStyle w:val="Heading1"/>
        <w:rPr>
          <w:rFonts w:asciiTheme="minorHAnsi" w:hAnsiTheme="minorHAnsi" w:cstheme="minorHAnsi"/>
        </w:rPr>
        <w:sectPr w:rsidR="002A20A1" w:rsidRPr="003D2AB7" w:rsidSect="00313005">
          <w:headerReference w:type="default" r:id="rId10"/>
          <w:footerReference w:type="default" r:id="rId11"/>
          <w:pgSz w:w="11906" w:h="16838"/>
          <w:pgMar w:top="1387" w:right="851" w:bottom="1843" w:left="1560" w:header="568" w:footer="315" w:gutter="0"/>
          <w:cols w:space="425"/>
          <w:docGrid w:linePitch="360"/>
        </w:sectPr>
      </w:pPr>
    </w:p>
    <w:p w14:paraId="6BACCE2D" w14:textId="77777777" w:rsidR="00336886" w:rsidRPr="003D2AB7" w:rsidRDefault="00336886" w:rsidP="00336886">
      <w:pPr>
        <w:pStyle w:val="Heading1"/>
        <w:rPr>
          <w:rFonts w:asciiTheme="minorHAnsi" w:hAnsiTheme="minorHAnsi" w:cstheme="minorHAnsi"/>
          <w:sz w:val="72"/>
        </w:rPr>
      </w:pPr>
      <w:bookmarkStart w:id="5" w:name="_Toc532474944"/>
      <w:r w:rsidRPr="003D2AB7">
        <w:rPr>
          <w:rFonts w:asciiTheme="minorHAnsi" w:hAnsiTheme="minorHAnsi" w:cstheme="minorHAnsi"/>
          <w:sz w:val="72"/>
        </w:rPr>
        <w:lastRenderedPageBreak/>
        <w:t xml:space="preserve">Executive </w:t>
      </w:r>
      <w:r w:rsidR="00CE71B8" w:rsidRPr="003D2AB7">
        <w:rPr>
          <w:rFonts w:asciiTheme="minorHAnsi" w:hAnsiTheme="minorHAnsi" w:cstheme="minorHAnsi"/>
          <w:sz w:val="72"/>
        </w:rPr>
        <w:t>s</w:t>
      </w:r>
      <w:r w:rsidRPr="003D2AB7">
        <w:rPr>
          <w:rFonts w:asciiTheme="minorHAnsi" w:hAnsiTheme="minorHAnsi" w:cstheme="minorHAnsi"/>
          <w:sz w:val="72"/>
        </w:rPr>
        <w:t>ummary</w:t>
      </w:r>
      <w:bookmarkEnd w:id="5"/>
    </w:p>
    <w:p w14:paraId="5F6E77C7" w14:textId="77777777" w:rsidR="00AC5F8F" w:rsidRPr="003D2AB7" w:rsidRDefault="00AC5F8F" w:rsidP="00F74EDA">
      <w:pPr>
        <w:spacing w:before="120" w:after="120" w:line="240" w:lineRule="auto"/>
        <w:rPr>
          <w:rFonts w:cstheme="minorHAnsi"/>
          <w:sz w:val="20"/>
          <w:szCs w:val="20"/>
        </w:rPr>
      </w:pPr>
      <w:r w:rsidRPr="003D2AB7">
        <w:rPr>
          <w:rFonts w:cstheme="minorHAnsi"/>
          <w:sz w:val="20"/>
          <w:szCs w:val="20"/>
        </w:rPr>
        <w:t xml:space="preserve">This review focuses on the </w:t>
      </w:r>
      <w:r w:rsidR="00FF4484" w:rsidRPr="003D2AB7">
        <w:rPr>
          <w:rFonts w:cstheme="minorHAnsi"/>
          <w:sz w:val="20"/>
          <w:szCs w:val="20"/>
        </w:rPr>
        <w:t xml:space="preserve">Irrigated Farm Modernisation (IFM) Project </w:t>
      </w:r>
      <w:r w:rsidRPr="003D2AB7">
        <w:rPr>
          <w:rFonts w:cstheme="minorHAnsi"/>
          <w:sz w:val="20"/>
          <w:szCs w:val="20"/>
        </w:rPr>
        <w:t xml:space="preserve">administered </w:t>
      </w:r>
      <w:r w:rsidR="00FF4484" w:rsidRPr="003D2AB7">
        <w:rPr>
          <w:rFonts w:cstheme="minorHAnsi"/>
          <w:sz w:val="20"/>
          <w:szCs w:val="20"/>
        </w:rPr>
        <w:t>by the New South Wales Government (NSW) Department of Primary Industries (DPI)</w:t>
      </w:r>
      <w:r w:rsidR="00EB350D" w:rsidRPr="003D2AB7">
        <w:rPr>
          <w:rFonts w:cstheme="minorHAnsi"/>
          <w:sz w:val="20"/>
          <w:szCs w:val="20"/>
        </w:rPr>
        <w:t xml:space="preserve">. The </w:t>
      </w:r>
      <w:r w:rsidR="00FF4484" w:rsidRPr="003D2AB7">
        <w:rPr>
          <w:rFonts w:cstheme="minorHAnsi"/>
          <w:sz w:val="20"/>
          <w:szCs w:val="20"/>
        </w:rPr>
        <w:t>IFM</w:t>
      </w:r>
      <w:r w:rsidR="00EB350D" w:rsidRPr="003D2AB7">
        <w:rPr>
          <w:rFonts w:cstheme="minorHAnsi"/>
          <w:sz w:val="20"/>
          <w:szCs w:val="20"/>
        </w:rPr>
        <w:t xml:space="preserve"> project is</w:t>
      </w:r>
      <w:r w:rsidRPr="003D2AB7">
        <w:rPr>
          <w:rFonts w:cstheme="minorHAnsi"/>
          <w:sz w:val="20"/>
          <w:szCs w:val="20"/>
        </w:rPr>
        <w:t xml:space="preserve"> part of a series of State Priority Projects under the Sustainable Rural Water Use and Infrastructure Program</w:t>
      </w:r>
      <w:r w:rsidR="00EB350D" w:rsidRPr="003D2AB7">
        <w:rPr>
          <w:rFonts w:cstheme="minorHAnsi"/>
          <w:sz w:val="20"/>
          <w:szCs w:val="20"/>
        </w:rPr>
        <w:t xml:space="preserve"> administered by the Department of Agriculture and Water Resources (DAWR)</w:t>
      </w:r>
      <w:r w:rsidRPr="003D2AB7">
        <w:rPr>
          <w:rFonts w:cstheme="minorHAnsi"/>
          <w:sz w:val="20"/>
          <w:szCs w:val="20"/>
        </w:rPr>
        <w:t xml:space="preserve">. </w:t>
      </w:r>
    </w:p>
    <w:p w14:paraId="2BF5E8A2" w14:textId="77777777" w:rsidR="00485D52" w:rsidRPr="003D2AB7" w:rsidRDefault="00485D52" w:rsidP="00F74EDA">
      <w:pPr>
        <w:spacing w:before="120" w:after="120" w:line="240" w:lineRule="auto"/>
        <w:rPr>
          <w:rFonts w:cstheme="minorHAnsi"/>
          <w:sz w:val="20"/>
          <w:szCs w:val="20"/>
        </w:rPr>
      </w:pPr>
      <w:r w:rsidRPr="003D2AB7">
        <w:rPr>
          <w:rFonts w:cstheme="minorHAnsi"/>
          <w:sz w:val="20"/>
          <w:szCs w:val="20"/>
        </w:rPr>
        <w:t>This review assessed the governance, risk and control processes in place for</w:t>
      </w:r>
      <w:r w:rsidR="006C712C" w:rsidRPr="003D2AB7">
        <w:rPr>
          <w:rFonts w:cstheme="minorHAnsi"/>
          <w:sz w:val="20"/>
          <w:szCs w:val="20"/>
        </w:rPr>
        <w:t xml:space="preserve"> the</w:t>
      </w:r>
      <w:r w:rsidRPr="003D2AB7">
        <w:rPr>
          <w:rFonts w:cstheme="minorHAnsi"/>
          <w:sz w:val="20"/>
          <w:szCs w:val="20"/>
        </w:rPr>
        <w:t xml:space="preserve"> </w:t>
      </w:r>
      <w:r w:rsidR="00FF4484" w:rsidRPr="003D2AB7">
        <w:rPr>
          <w:rFonts w:cstheme="minorHAnsi"/>
          <w:sz w:val="20"/>
          <w:szCs w:val="20"/>
        </w:rPr>
        <w:t>IFM</w:t>
      </w:r>
      <w:r w:rsidRPr="003D2AB7">
        <w:rPr>
          <w:rFonts w:cstheme="minorHAnsi"/>
          <w:sz w:val="20"/>
          <w:szCs w:val="20"/>
        </w:rPr>
        <w:t xml:space="preserve"> State Priority Project to ensure effective use of Commonwealth funds. The review was conducted through a combination of document review, stakeholder consultation and on-</w:t>
      </w:r>
      <w:r w:rsidR="00643E0A" w:rsidRPr="003D2AB7">
        <w:rPr>
          <w:rFonts w:cstheme="minorHAnsi"/>
          <w:sz w:val="20"/>
          <w:szCs w:val="20"/>
        </w:rPr>
        <w:t>farm</w:t>
      </w:r>
      <w:r w:rsidRPr="003D2AB7">
        <w:rPr>
          <w:rFonts w:cstheme="minorHAnsi"/>
          <w:sz w:val="20"/>
          <w:szCs w:val="20"/>
        </w:rPr>
        <w:t xml:space="preserve"> inspection. </w:t>
      </w:r>
    </w:p>
    <w:p w14:paraId="13EA5271" w14:textId="77777777" w:rsidR="00AC5F8F" w:rsidRPr="003D2AB7" w:rsidRDefault="00AC5F8F" w:rsidP="00F74EDA">
      <w:pPr>
        <w:spacing w:before="120" w:after="120" w:line="240" w:lineRule="auto"/>
        <w:rPr>
          <w:rFonts w:cstheme="minorHAnsi"/>
          <w:sz w:val="20"/>
          <w:szCs w:val="20"/>
        </w:rPr>
      </w:pPr>
      <w:r w:rsidRPr="003D2AB7">
        <w:rPr>
          <w:rFonts w:cstheme="minorHAnsi"/>
          <w:sz w:val="20"/>
          <w:szCs w:val="20"/>
        </w:rPr>
        <w:t>KPMG selected a sample of 2</w:t>
      </w:r>
      <w:r w:rsidR="00FF4484" w:rsidRPr="003D2AB7">
        <w:rPr>
          <w:rFonts w:cstheme="minorHAnsi"/>
          <w:sz w:val="20"/>
          <w:szCs w:val="20"/>
        </w:rPr>
        <w:t>8</w:t>
      </w:r>
      <w:r w:rsidRPr="003D2AB7">
        <w:rPr>
          <w:rFonts w:cstheme="minorHAnsi"/>
          <w:sz w:val="20"/>
          <w:szCs w:val="20"/>
        </w:rPr>
        <w:t xml:space="preserve"> approved projects (25% of </w:t>
      </w:r>
      <w:r w:rsidR="00B817AE" w:rsidRPr="003D2AB7">
        <w:rPr>
          <w:rFonts w:cstheme="minorHAnsi"/>
          <w:sz w:val="20"/>
          <w:szCs w:val="20"/>
        </w:rPr>
        <w:t xml:space="preserve">all projects) </w:t>
      </w:r>
      <w:r w:rsidRPr="003D2AB7">
        <w:rPr>
          <w:rFonts w:cstheme="minorHAnsi"/>
          <w:sz w:val="20"/>
          <w:szCs w:val="20"/>
        </w:rPr>
        <w:t xml:space="preserve">for desktop review and </w:t>
      </w:r>
      <w:r w:rsidR="006C712C" w:rsidRPr="003D2AB7">
        <w:rPr>
          <w:rFonts w:cstheme="minorHAnsi"/>
          <w:sz w:val="20"/>
          <w:szCs w:val="20"/>
        </w:rPr>
        <w:t xml:space="preserve">within this </w:t>
      </w:r>
      <w:r w:rsidRPr="003D2AB7">
        <w:rPr>
          <w:rFonts w:cstheme="minorHAnsi"/>
          <w:sz w:val="20"/>
          <w:szCs w:val="20"/>
        </w:rPr>
        <w:t>sample</w:t>
      </w:r>
      <w:r w:rsidR="00F34569" w:rsidRPr="003D2AB7">
        <w:rPr>
          <w:rFonts w:cstheme="minorHAnsi"/>
          <w:sz w:val="20"/>
          <w:szCs w:val="20"/>
        </w:rPr>
        <w:t>,</w:t>
      </w:r>
      <w:r w:rsidRPr="003D2AB7">
        <w:rPr>
          <w:rFonts w:cstheme="minorHAnsi"/>
          <w:sz w:val="20"/>
          <w:szCs w:val="20"/>
        </w:rPr>
        <w:t xml:space="preserve"> </w:t>
      </w:r>
      <w:r w:rsidR="00FF4484" w:rsidRPr="003D2AB7">
        <w:rPr>
          <w:rFonts w:cstheme="minorHAnsi"/>
          <w:sz w:val="20"/>
          <w:szCs w:val="20"/>
        </w:rPr>
        <w:t>12</w:t>
      </w:r>
      <w:r w:rsidRPr="003D2AB7">
        <w:rPr>
          <w:rFonts w:cstheme="minorHAnsi"/>
          <w:sz w:val="20"/>
          <w:szCs w:val="20"/>
        </w:rPr>
        <w:t xml:space="preserve"> projects were selected for on-</w:t>
      </w:r>
      <w:r w:rsidR="00643E0A" w:rsidRPr="003D2AB7">
        <w:rPr>
          <w:rFonts w:cstheme="minorHAnsi"/>
          <w:sz w:val="20"/>
          <w:szCs w:val="20"/>
        </w:rPr>
        <w:t>farm</w:t>
      </w:r>
      <w:r w:rsidRPr="003D2AB7">
        <w:rPr>
          <w:rFonts w:cstheme="minorHAnsi"/>
          <w:sz w:val="20"/>
          <w:szCs w:val="20"/>
        </w:rPr>
        <w:t xml:space="preserve"> verification. The sample </w:t>
      </w:r>
      <w:r w:rsidR="00200DC3" w:rsidRPr="003D2AB7">
        <w:rPr>
          <w:rFonts w:cstheme="minorHAnsi"/>
          <w:sz w:val="20"/>
          <w:szCs w:val="20"/>
        </w:rPr>
        <w:t>covered proje</w:t>
      </w:r>
      <w:r w:rsidR="00F34569" w:rsidRPr="003D2AB7">
        <w:rPr>
          <w:rFonts w:cstheme="minorHAnsi"/>
          <w:sz w:val="20"/>
          <w:szCs w:val="20"/>
        </w:rPr>
        <w:t>cts ranging in total cost from $140,000 to over $5 million, across 9 funding rounds</w:t>
      </w:r>
      <w:r w:rsidR="00211F59" w:rsidRPr="003D2AB7">
        <w:rPr>
          <w:rFonts w:cstheme="minorHAnsi"/>
          <w:sz w:val="20"/>
          <w:szCs w:val="20"/>
        </w:rPr>
        <w:t xml:space="preserve"> </w:t>
      </w:r>
      <w:r w:rsidR="00B817AE" w:rsidRPr="003D2AB7">
        <w:rPr>
          <w:rFonts w:cstheme="minorHAnsi"/>
          <w:sz w:val="20"/>
          <w:szCs w:val="20"/>
        </w:rPr>
        <w:t>and</w:t>
      </w:r>
      <w:r w:rsidR="00200DC3" w:rsidRPr="003D2AB7">
        <w:rPr>
          <w:rFonts w:cstheme="minorHAnsi"/>
          <w:sz w:val="20"/>
          <w:szCs w:val="20"/>
        </w:rPr>
        <w:t xml:space="preserve"> </w:t>
      </w:r>
      <w:r w:rsidR="00643E0A" w:rsidRPr="003D2AB7">
        <w:rPr>
          <w:rFonts w:cstheme="minorHAnsi"/>
          <w:sz w:val="20"/>
          <w:szCs w:val="20"/>
        </w:rPr>
        <w:t>across a variety of</w:t>
      </w:r>
      <w:r w:rsidR="00200DC3" w:rsidRPr="003D2AB7">
        <w:rPr>
          <w:rFonts w:cstheme="minorHAnsi"/>
          <w:sz w:val="20"/>
          <w:szCs w:val="20"/>
        </w:rPr>
        <w:t xml:space="preserve"> catchment areas</w:t>
      </w:r>
      <w:r w:rsidR="00144C4F" w:rsidRPr="003D2AB7">
        <w:rPr>
          <w:rFonts w:cstheme="minorHAnsi"/>
          <w:sz w:val="20"/>
          <w:szCs w:val="20"/>
        </w:rPr>
        <w:t>.</w:t>
      </w:r>
    </w:p>
    <w:p w14:paraId="1F696662" w14:textId="77777777" w:rsidR="00F92E16" w:rsidRPr="003D2AB7" w:rsidRDefault="00AC5F8F" w:rsidP="00F74EDA">
      <w:pPr>
        <w:spacing w:before="120" w:after="120" w:line="240" w:lineRule="auto"/>
        <w:rPr>
          <w:rFonts w:cstheme="minorHAnsi"/>
          <w:sz w:val="20"/>
          <w:szCs w:val="20"/>
        </w:rPr>
      </w:pPr>
      <w:r w:rsidRPr="003D2AB7">
        <w:rPr>
          <w:rFonts w:cstheme="minorHAnsi"/>
          <w:sz w:val="20"/>
          <w:szCs w:val="20"/>
        </w:rPr>
        <w:t>Overall</w:t>
      </w:r>
      <w:r w:rsidR="00323904" w:rsidRPr="003D2AB7">
        <w:rPr>
          <w:rFonts w:cstheme="minorHAnsi"/>
          <w:sz w:val="20"/>
          <w:szCs w:val="20"/>
        </w:rPr>
        <w:t>,</w:t>
      </w:r>
      <w:r w:rsidRPr="003D2AB7">
        <w:rPr>
          <w:rFonts w:cstheme="minorHAnsi"/>
          <w:sz w:val="20"/>
          <w:szCs w:val="20"/>
        </w:rPr>
        <w:t xml:space="preserve"> the</w:t>
      </w:r>
      <w:r w:rsidR="00E93E78" w:rsidRPr="003D2AB7">
        <w:rPr>
          <w:rFonts w:cstheme="minorHAnsi"/>
          <w:sz w:val="20"/>
          <w:szCs w:val="20"/>
        </w:rPr>
        <w:t xml:space="preserve"> r</w:t>
      </w:r>
      <w:r w:rsidRPr="003D2AB7">
        <w:rPr>
          <w:rFonts w:cstheme="minorHAnsi"/>
          <w:sz w:val="20"/>
          <w:szCs w:val="20"/>
        </w:rPr>
        <w:t xml:space="preserve">eview found that </w:t>
      </w:r>
      <w:r w:rsidR="00FF4484" w:rsidRPr="003D2AB7">
        <w:rPr>
          <w:rFonts w:cstheme="minorHAnsi"/>
          <w:sz w:val="20"/>
          <w:szCs w:val="20"/>
        </w:rPr>
        <w:t>DPI</w:t>
      </w:r>
      <w:r w:rsidR="00F74EDA" w:rsidRPr="003D2AB7">
        <w:rPr>
          <w:rFonts w:cstheme="minorHAnsi"/>
          <w:sz w:val="20"/>
          <w:szCs w:val="20"/>
        </w:rPr>
        <w:t xml:space="preserve"> has developed and implemented</w:t>
      </w:r>
      <w:r w:rsidRPr="003D2AB7">
        <w:rPr>
          <w:rFonts w:cstheme="minorHAnsi"/>
          <w:sz w:val="20"/>
          <w:szCs w:val="20"/>
        </w:rPr>
        <w:t xml:space="preserve"> </w:t>
      </w:r>
      <w:r w:rsidR="0000370F" w:rsidRPr="003D2AB7">
        <w:rPr>
          <w:rFonts w:cstheme="minorHAnsi"/>
          <w:sz w:val="20"/>
          <w:szCs w:val="20"/>
        </w:rPr>
        <w:t>appropriate</w:t>
      </w:r>
      <w:r w:rsidRPr="003D2AB7">
        <w:rPr>
          <w:rFonts w:cstheme="minorHAnsi"/>
          <w:sz w:val="20"/>
          <w:szCs w:val="20"/>
        </w:rPr>
        <w:t xml:space="preserve"> controls, processes and structures to assist in the effective administration of the </w:t>
      </w:r>
      <w:r w:rsidR="00FF4484" w:rsidRPr="003D2AB7">
        <w:rPr>
          <w:rFonts w:cstheme="minorHAnsi"/>
          <w:sz w:val="20"/>
          <w:szCs w:val="20"/>
        </w:rPr>
        <w:t>IFM</w:t>
      </w:r>
      <w:r w:rsidRPr="003D2AB7">
        <w:rPr>
          <w:rFonts w:cstheme="minorHAnsi"/>
          <w:sz w:val="20"/>
          <w:szCs w:val="20"/>
        </w:rPr>
        <w:t xml:space="preserve"> project.</w:t>
      </w:r>
      <w:r w:rsidR="00F92E16" w:rsidRPr="003D2AB7">
        <w:rPr>
          <w:rFonts w:cstheme="minorHAnsi"/>
          <w:sz w:val="20"/>
          <w:szCs w:val="20"/>
        </w:rPr>
        <w:t xml:space="preserve"> This included:</w:t>
      </w:r>
    </w:p>
    <w:p w14:paraId="29899352" w14:textId="77777777" w:rsidR="00F92E16" w:rsidRPr="003D2AB7" w:rsidRDefault="00F92E16"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Establishment of relevant governance and reporting mechanisms;</w:t>
      </w:r>
    </w:p>
    <w:p w14:paraId="1DE582D7" w14:textId="77777777" w:rsidR="00FF4484" w:rsidRPr="003D2AB7" w:rsidRDefault="00FF4484"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Appropriate document management processes and evidentiary requirements;</w:t>
      </w:r>
    </w:p>
    <w:p w14:paraId="08D9219D" w14:textId="77777777" w:rsidR="00F92E16" w:rsidRPr="003D2AB7" w:rsidRDefault="00F92E16"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Defined and documented management processes and procedures;</w:t>
      </w:r>
    </w:p>
    <w:p w14:paraId="0CEB3DA9" w14:textId="77777777" w:rsidR="00FF4484" w:rsidRPr="003D2AB7" w:rsidRDefault="00FF4484"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Program evaluation and monitoring functions</w:t>
      </w:r>
      <w:r w:rsidR="00F34569" w:rsidRPr="003D2AB7">
        <w:rPr>
          <w:rFonts w:cstheme="minorHAnsi"/>
          <w:sz w:val="20"/>
          <w:szCs w:val="20"/>
        </w:rPr>
        <w:t xml:space="preserve"> built-in to the project</w:t>
      </w:r>
      <w:r w:rsidRPr="003D2AB7">
        <w:rPr>
          <w:rFonts w:cstheme="minorHAnsi"/>
          <w:sz w:val="20"/>
          <w:szCs w:val="20"/>
        </w:rPr>
        <w:t>;</w:t>
      </w:r>
    </w:p>
    <w:p w14:paraId="37A923A8" w14:textId="77777777" w:rsidR="00F92E16" w:rsidRPr="003D2AB7" w:rsidRDefault="00F92E16"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 xml:space="preserve">Processes and controls to support </w:t>
      </w:r>
      <w:r w:rsidR="00E0182F" w:rsidRPr="003D2AB7">
        <w:rPr>
          <w:rFonts w:cstheme="minorHAnsi"/>
          <w:sz w:val="20"/>
          <w:szCs w:val="20"/>
        </w:rPr>
        <w:t xml:space="preserve">the </w:t>
      </w:r>
      <w:r w:rsidRPr="003D2AB7">
        <w:rPr>
          <w:rFonts w:cstheme="minorHAnsi"/>
          <w:sz w:val="20"/>
          <w:szCs w:val="20"/>
        </w:rPr>
        <w:t>appropriate use of Commonwealth funds;</w:t>
      </w:r>
    </w:p>
    <w:p w14:paraId="6EC9C4C3" w14:textId="77777777" w:rsidR="00F92E16" w:rsidRPr="003D2AB7" w:rsidRDefault="00F92E16"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 xml:space="preserve">Ongoing management and monitoring of proponent activity; and </w:t>
      </w:r>
    </w:p>
    <w:p w14:paraId="4D8E59C9" w14:textId="77777777" w:rsidR="00F92E16" w:rsidRPr="003D2AB7" w:rsidRDefault="00F92E16" w:rsidP="00251635">
      <w:pPr>
        <w:pStyle w:val="ListParagraph"/>
        <w:numPr>
          <w:ilvl w:val="0"/>
          <w:numId w:val="11"/>
        </w:numPr>
        <w:spacing w:before="120" w:after="120" w:line="240" w:lineRule="auto"/>
        <w:rPr>
          <w:rFonts w:cstheme="minorHAnsi"/>
          <w:sz w:val="20"/>
          <w:szCs w:val="20"/>
        </w:rPr>
      </w:pPr>
      <w:r w:rsidRPr="003D2AB7">
        <w:rPr>
          <w:rFonts w:cstheme="minorHAnsi"/>
          <w:sz w:val="20"/>
          <w:szCs w:val="20"/>
        </w:rPr>
        <w:t>Regular and ongoing stakeholder engagement.</w:t>
      </w:r>
    </w:p>
    <w:p w14:paraId="6917520D" w14:textId="77777777" w:rsidR="00FF4484" w:rsidRPr="003D2AB7" w:rsidRDefault="00690029" w:rsidP="00FF4484">
      <w:pPr>
        <w:spacing w:before="120" w:after="120" w:line="240" w:lineRule="auto"/>
        <w:rPr>
          <w:rFonts w:cstheme="minorHAnsi"/>
          <w:sz w:val="20"/>
          <w:szCs w:val="20"/>
        </w:rPr>
      </w:pPr>
      <w:r w:rsidRPr="003D2AB7">
        <w:rPr>
          <w:rFonts w:cstheme="minorHAnsi"/>
          <w:sz w:val="20"/>
          <w:szCs w:val="20"/>
        </w:rPr>
        <w:t xml:space="preserve">Based on </w:t>
      </w:r>
      <w:r w:rsidR="0075596E" w:rsidRPr="003D2AB7">
        <w:rPr>
          <w:rFonts w:cstheme="minorHAnsi"/>
          <w:sz w:val="20"/>
          <w:szCs w:val="20"/>
        </w:rPr>
        <w:t xml:space="preserve">the </w:t>
      </w:r>
      <w:r w:rsidR="00FF4484" w:rsidRPr="003D2AB7">
        <w:rPr>
          <w:rFonts w:cstheme="minorHAnsi"/>
          <w:sz w:val="20"/>
          <w:szCs w:val="20"/>
        </w:rPr>
        <w:t>fieldwork conducted for this review, IFM appears to have been managed in a manner to allow for regular evaluation with a focus on continuous improvement and supporting the success of projects.</w:t>
      </w:r>
      <w:r w:rsidR="00F34569" w:rsidRPr="003D2AB7">
        <w:rPr>
          <w:rFonts w:cstheme="minorHAnsi"/>
          <w:sz w:val="20"/>
          <w:szCs w:val="20"/>
        </w:rPr>
        <w:t xml:space="preserve"> </w:t>
      </w:r>
      <w:r w:rsidR="00FF4484" w:rsidRPr="003D2AB7">
        <w:rPr>
          <w:rFonts w:cstheme="minorHAnsi"/>
          <w:sz w:val="20"/>
          <w:szCs w:val="20"/>
        </w:rPr>
        <w:t>The audit trail and supporting documentation</w:t>
      </w:r>
      <w:r w:rsidR="00F34569" w:rsidRPr="003D2AB7">
        <w:rPr>
          <w:rFonts w:cstheme="minorHAnsi"/>
          <w:sz w:val="20"/>
          <w:szCs w:val="20"/>
        </w:rPr>
        <w:t xml:space="preserve"> and processes</w:t>
      </w:r>
      <w:r w:rsidR="00FF4484" w:rsidRPr="003D2AB7">
        <w:rPr>
          <w:rFonts w:cstheme="minorHAnsi"/>
          <w:sz w:val="20"/>
          <w:szCs w:val="20"/>
        </w:rPr>
        <w:t xml:space="preserve"> associated with the IFM project demonstrates DPI’s emphasis on transparent and defensible decision making. </w:t>
      </w:r>
    </w:p>
    <w:p w14:paraId="3EB3BB5A" w14:textId="77777777" w:rsidR="00AC5F8F" w:rsidRPr="003D2AB7" w:rsidRDefault="00FF4484" w:rsidP="00F74EDA">
      <w:pPr>
        <w:spacing w:before="120" w:after="120" w:line="240" w:lineRule="auto"/>
        <w:rPr>
          <w:rFonts w:cstheme="minorHAnsi"/>
          <w:sz w:val="20"/>
          <w:szCs w:val="20"/>
        </w:rPr>
      </w:pPr>
      <w:r w:rsidRPr="003D2AB7">
        <w:rPr>
          <w:rFonts w:cstheme="minorHAnsi"/>
          <w:sz w:val="20"/>
          <w:szCs w:val="20"/>
        </w:rPr>
        <w:t>It appears that appropriate</w:t>
      </w:r>
      <w:r w:rsidR="00AC5F8F" w:rsidRPr="003D2AB7">
        <w:rPr>
          <w:rFonts w:cstheme="minorHAnsi"/>
          <w:sz w:val="20"/>
          <w:szCs w:val="20"/>
        </w:rPr>
        <w:t xml:space="preserve"> control structures were established to effectively manage the use of Commonwealth funds </w:t>
      </w:r>
      <w:r w:rsidR="00075888" w:rsidRPr="003D2AB7">
        <w:rPr>
          <w:rFonts w:cstheme="minorHAnsi"/>
          <w:sz w:val="20"/>
          <w:szCs w:val="20"/>
        </w:rPr>
        <w:t>based on our review of key program management areas. Additionally,</w:t>
      </w:r>
      <w:r w:rsidR="00AC5F8F" w:rsidRPr="003D2AB7">
        <w:rPr>
          <w:rFonts w:cstheme="minorHAnsi"/>
          <w:sz w:val="20"/>
          <w:szCs w:val="20"/>
        </w:rPr>
        <w:t xml:space="preserve"> no</w:t>
      </w:r>
      <w:r w:rsidR="00AC5F8F" w:rsidRPr="003D2AB7">
        <w:rPr>
          <w:rFonts w:cstheme="minorHAnsi"/>
          <w:i/>
          <w:sz w:val="20"/>
          <w:szCs w:val="20"/>
        </w:rPr>
        <w:t xml:space="preserve"> </w:t>
      </w:r>
      <w:r w:rsidR="00282EBC" w:rsidRPr="003D2AB7">
        <w:rPr>
          <w:rFonts w:cstheme="minorHAnsi"/>
          <w:sz w:val="20"/>
          <w:szCs w:val="20"/>
        </w:rPr>
        <w:t>significant</w:t>
      </w:r>
      <w:r w:rsidR="00AC5F8F" w:rsidRPr="003D2AB7">
        <w:rPr>
          <w:rFonts w:cstheme="minorHAnsi"/>
          <w:sz w:val="20"/>
          <w:szCs w:val="20"/>
        </w:rPr>
        <w:t xml:space="preserve"> non-compliance with key provisions of the Water Management Partnership Agreement </w:t>
      </w:r>
      <w:r w:rsidR="00CD7145" w:rsidRPr="003D2AB7">
        <w:rPr>
          <w:rFonts w:cstheme="minorHAnsi"/>
          <w:sz w:val="20"/>
          <w:szCs w:val="20"/>
        </w:rPr>
        <w:t xml:space="preserve">(WMPA) </w:t>
      </w:r>
      <w:r w:rsidR="00AC5F8F" w:rsidRPr="003D2AB7">
        <w:rPr>
          <w:rFonts w:cstheme="minorHAnsi"/>
          <w:sz w:val="20"/>
          <w:szCs w:val="20"/>
        </w:rPr>
        <w:t xml:space="preserve">between </w:t>
      </w:r>
      <w:r w:rsidR="00F34569" w:rsidRPr="003D2AB7">
        <w:rPr>
          <w:rFonts w:cstheme="minorHAnsi"/>
          <w:sz w:val="20"/>
          <w:szCs w:val="20"/>
        </w:rPr>
        <w:t>NSW</w:t>
      </w:r>
      <w:r w:rsidR="00AC5F8F" w:rsidRPr="003D2AB7">
        <w:rPr>
          <w:rFonts w:cstheme="minorHAnsi"/>
          <w:sz w:val="20"/>
          <w:szCs w:val="20"/>
        </w:rPr>
        <w:t xml:space="preserve"> and the Commonwealth </w:t>
      </w:r>
      <w:r w:rsidR="00D169D2" w:rsidRPr="003D2AB7">
        <w:rPr>
          <w:rFonts w:cstheme="minorHAnsi"/>
          <w:sz w:val="20"/>
          <w:szCs w:val="20"/>
        </w:rPr>
        <w:t xml:space="preserve">was </w:t>
      </w:r>
      <w:r w:rsidR="00AC5F8F" w:rsidRPr="003D2AB7">
        <w:rPr>
          <w:rFonts w:cstheme="minorHAnsi"/>
          <w:sz w:val="20"/>
          <w:szCs w:val="20"/>
        </w:rPr>
        <w:t>identified.</w:t>
      </w:r>
      <w:r w:rsidR="00AC5F8F" w:rsidRPr="003D2AB7">
        <w:rPr>
          <w:rFonts w:cstheme="minorHAnsi"/>
          <w:i/>
          <w:sz w:val="20"/>
          <w:szCs w:val="20"/>
        </w:rPr>
        <w:t xml:space="preserve">  </w:t>
      </w:r>
    </w:p>
    <w:p w14:paraId="1027447D" w14:textId="77777777" w:rsidR="00A640C7" w:rsidRPr="003D2AB7" w:rsidRDefault="00AC5F8F" w:rsidP="00F74EDA">
      <w:pPr>
        <w:spacing w:before="120" w:after="120" w:line="240" w:lineRule="auto"/>
        <w:rPr>
          <w:rFonts w:cstheme="minorHAnsi"/>
          <w:sz w:val="20"/>
          <w:szCs w:val="20"/>
        </w:rPr>
      </w:pPr>
      <w:r w:rsidRPr="003D2AB7">
        <w:rPr>
          <w:rFonts w:cstheme="minorHAnsi"/>
          <w:sz w:val="20"/>
          <w:szCs w:val="20"/>
        </w:rPr>
        <w:t>A small number of</w:t>
      </w:r>
      <w:r w:rsidR="00F92E16" w:rsidRPr="003D2AB7">
        <w:rPr>
          <w:rFonts w:cstheme="minorHAnsi"/>
          <w:sz w:val="20"/>
          <w:szCs w:val="20"/>
        </w:rPr>
        <w:t xml:space="preserve"> opportunities for improvement </w:t>
      </w:r>
      <w:r w:rsidR="00643E0A" w:rsidRPr="003D2AB7">
        <w:rPr>
          <w:rFonts w:cstheme="minorHAnsi"/>
          <w:sz w:val="20"/>
          <w:szCs w:val="20"/>
        </w:rPr>
        <w:t>were identified. N</w:t>
      </w:r>
      <w:r w:rsidRPr="003D2AB7">
        <w:rPr>
          <w:rFonts w:cstheme="minorHAnsi"/>
          <w:sz w:val="20"/>
          <w:szCs w:val="20"/>
        </w:rPr>
        <w:t xml:space="preserve">one of </w:t>
      </w:r>
      <w:r w:rsidR="00643E0A" w:rsidRPr="003D2AB7">
        <w:rPr>
          <w:rFonts w:cstheme="minorHAnsi"/>
          <w:sz w:val="20"/>
          <w:szCs w:val="20"/>
        </w:rPr>
        <w:t>these were</w:t>
      </w:r>
      <w:r w:rsidRPr="003D2AB7">
        <w:rPr>
          <w:rFonts w:cstheme="minorHAnsi"/>
          <w:sz w:val="20"/>
          <w:szCs w:val="20"/>
        </w:rPr>
        <w:t xml:space="preserve"> considered significant or</w:t>
      </w:r>
      <w:r w:rsidR="006C712C" w:rsidRPr="003D2AB7">
        <w:rPr>
          <w:rFonts w:cstheme="minorHAnsi"/>
          <w:sz w:val="20"/>
          <w:szCs w:val="20"/>
        </w:rPr>
        <w:t xml:space="preserve"> demonstrate</w:t>
      </w:r>
      <w:r w:rsidRPr="003D2AB7">
        <w:rPr>
          <w:rFonts w:cstheme="minorHAnsi"/>
          <w:sz w:val="20"/>
          <w:szCs w:val="20"/>
        </w:rPr>
        <w:t xml:space="preserve"> systemic control weaknesses.</w:t>
      </w:r>
    </w:p>
    <w:p w14:paraId="4D7B2C40" w14:textId="77777777" w:rsidR="003A5486" w:rsidRPr="003D2AB7" w:rsidRDefault="00AC5F8F" w:rsidP="00336886">
      <w:pPr>
        <w:pStyle w:val="Heading1"/>
        <w:rPr>
          <w:rFonts w:asciiTheme="minorHAnsi" w:hAnsiTheme="minorHAnsi" w:cstheme="minorHAnsi"/>
          <w:sz w:val="72"/>
        </w:rPr>
      </w:pPr>
      <w:bookmarkStart w:id="6" w:name="_Toc532474945"/>
      <w:bookmarkEnd w:id="4"/>
      <w:r w:rsidRPr="003D2AB7">
        <w:rPr>
          <w:rFonts w:asciiTheme="minorHAnsi" w:hAnsiTheme="minorHAnsi" w:cstheme="minorHAnsi"/>
          <w:sz w:val="72"/>
        </w:rPr>
        <w:t>Introduction</w:t>
      </w:r>
      <w:bookmarkEnd w:id="6"/>
    </w:p>
    <w:p w14:paraId="095D7FFA" w14:textId="77777777" w:rsidR="005D70F5" w:rsidRPr="003D2AB7" w:rsidRDefault="00A07D24" w:rsidP="000722AF">
      <w:pPr>
        <w:pStyle w:val="Heading2"/>
        <w:rPr>
          <w:rFonts w:asciiTheme="minorHAnsi" w:hAnsiTheme="minorHAnsi" w:cstheme="minorHAnsi"/>
        </w:rPr>
      </w:pPr>
      <w:bookmarkStart w:id="7" w:name="_Toc515451808"/>
      <w:bookmarkStart w:id="8" w:name="_Toc532474946"/>
      <w:r w:rsidRPr="003D2AB7">
        <w:rPr>
          <w:rFonts w:asciiTheme="minorHAnsi" w:hAnsiTheme="minorHAnsi" w:cstheme="minorHAnsi"/>
        </w:rPr>
        <w:t>Background</w:t>
      </w:r>
      <w:bookmarkEnd w:id="7"/>
      <w:bookmarkEnd w:id="8"/>
    </w:p>
    <w:p w14:paraId="63033C6F" w14:textId="77777777" w:rsidR="00607EED" w:rsidRPr="003D2AB7" w:rsidRDefault="00607EED" w:rsidP="00F74EDA">
      <w:pPr>
        <w:spacing w:before="120" w:after="120" w:line="240" w:lineRule="auto"/>
        <w:rPr>
          <w:rFonts w:cstheme="minorHAnsi"/>
          <w:sz w:val="20"/>
          <w:szCs w:val="20"/>
        </w:rPr>
      </w:pPr>
      <w:r w:rsidRPr="003D2AB7">
        <w:rPr>
          <w:rFonts w:cstheme="minorHAnsi"/>
          <w:sz w:val="20"/>
          <w:szCs w:val="20"/>
        </w:rPr>
        <w:t>DAWR has a number of programs that are administered by the States</w:t>
      </w:r>
      <w:r w:rsidR="0043469A" w:rsidRPr="003D2AB7">
        <w:rPr>
          <w:rFonts w:cstheme="minorHAnsi"/>
          <w:sz w:val="20"/>
          <w:szCs w:val="20"/>
        </w:rPr>
        <w:t xml:space="preserve"> through</w:t>
      </w:r>
      <w:r w:rsidR="00A14666" w:rsidRPr="003D2AB7">
        <w:rPr>
          <w:rFonts w:cstheme="minorHAnsi"/>
          <w:sz w:val="20"/>
          <w:szCs w:val="20"/>
        </w:rPr>
        <w:t xml:space="preserve"> </w:t>
      </w:r>
      <w:r w:rsidRPr="003D2AB7">
        <w:rPr>
          <w:rFonts w:cstheme="minorHAnsi"/>
          <w:sz w:val="20"/>
          <w:szCs w:val="20"/>
        </w:rPr>
        <w:t xml:space="preserve">the Sustainable Rural Water Use and Infrastructure Program </w:t>
      </w:r>
      <w:r w:rsidR="00643E0A" w:rsidRPr="003D2AB7">
        <w:rPr>
          <w:rFonts w:cstheme="minorHAnsi"/>
          <w:sz w:val="20"/>
          <w:szCs w:val="20"/>
        </w:rPr>
        <w:t xml:space="preserve">(the Program) </w:t>
      </w:r>
      <w:r w:rsidRPr="003D2AB7">
        <w:rPr>
          <w:rFonts w:cstheme="minorHAnsi"/>
          <w:sz w:val="20"/>
          <w:szCs w:val="20"/>
        </w:rPr>
        <w:t xml:space="preserve">established under Part Four of the </w:t>
      </w:r>
      <w:r w:rsidR="00A93C43" w:rsidRPr="003D2AB7">
        <w:rPr>
          <w:rFonts w:cstheme="minorHAnsi"/>
          <w:sz w:val="20"/>
          <w:szCs w:val="20"/>
        </w:rPr>
        <w:t xml:space="preserve">Intergovernmental </w:t>
      </w:r>
      <w:r w:rsidRPr="003D2AB7">
        <w:rPr>
          <w:rFonts w:cstheme="minorHAnsi"/>
          <w:sz w:val="20"/>
          <w:szCs w:val="20"/>
        </w:rPr>
        <w:t>Agreement (IGA) on the Murray-Darling Basin Reform. The IGA is an initiative which seeks to increase the productivity and efficiency of Australia’s water use</w:t>
      </w:r>
      <w:r w:rsidR="00FF455B" w:rsidRPr="003D2AB7">
        <w:rPr>
          <w:rFonts w:cstheme="minorHAnsi"/>
          <w:sz w:val="20"/>
          <w:szCs w:val="20"/>
        </w:rPr>
        <w:t>.</w:t>
      </w:r>
    </w:p>
    <w:p w14:paraId="0E326B62" w14:textId="4348529A" w:rsidR="005D70F5" w:rsidRPr="003D2AB7" w:rsidRDefault="00643E0A" w:rsidP="00F74EDA">
      <w:pPr>
        <w:spacing w:before="120" w:after="120" w:line="240" w:lineRule="auto"/>
        <w:rPr>
          <w:rFonts w:cstheme="minorHAnsi"/>
          <w:sz w:val="20"/>
          <w:szCs w:val="20"/>
        </w:rPr>
      </w:pPr>
      <w:r w:rsidRPr="003D2AB7">
        <w:rPr>
          <w:rFonts w:cstheme="minorHAnsi"/>
          <w:sz w:val="20"/>
          <w:szCs w:val="20"/>
        </w:rPr>
        <w:t>The aim of the P</w:t>
      </w:r>
      <w:r w:rsidR="00607EED" w:rsidRPr="003D2AB7">
        <w:rPr>
          <w:rFonts w:cstheme="minorHAnsi"/>
          <w:sz w:val="20"/>
          <w:szCs w:val="20"/>
        </w:rPr>
        <w:t xml:space="preserve">rogram </w:t>
      </w:r>
      <w:r w:rsidR="00835348" w:rsidRPr="003D2AB7">
        <w:rPr>
          <w:rFonts w:cstheme="minorHAnsi"/>
          <w:sz w:val="20"/>
          <w:szCs w:val="20"/>
        </w:rPr>
        <w:t xml:space="preserve">is to ‘bridge the gap’ to the sustainable diversion limits </w:t>
      </w:r>
      <w:r w:rsidR="00607EED" w:rsidRPr="003D2AB7">
        <w:rPr>
          <w:rFonts w:cstheme="minorHAnsi"/>
          <w:sz w:val="20"/>
          <w:szCs w:val="20"/>
        </w:rPr>
        <w:t>by enabling water reforms in the Murray Daring Basin to deliver a sustainable cap on surface water and ground water divisions through a range of water recovery projects. The Program provides funds to State Priority Projects facilitated through Water Management Partnership Agreements (WMPA) with each of the Basin States.</w:t>
      </w:r>
      <w:r w:rsidR="008E47FE" w:rsidRPr="003D2AB7">
        <w:rPr>
          <w:rFonts w:cstheme="minorHAnsi"/>
          <w:sz w:val="20"/>
          <w:szCs w:val="20"/>
        </w:rPr>
        <w:t xml:space="preserve"> </w:t>
      </w:r>
    </w:p>
    <w:p w14:paraId="3F4E4826" w14:textId="77777777" w:rsidR="00811B0B" w:rsidRPr="003D2AB7" w:rsidRDefault="00811B0B" w:rsidP="00F74EDA">
      <w:pPr>
        <w:spacing w:before="120" w:after="120" w:line="240" w:lineRule="auto"/>
        <w:rPr>
          <w:rFonts w:cstheme="minorHAnsi"/>
          <w:b/>
          <w:bCs/>
          <w:szCs w:val="20"/>
        </w:rPr>
      </w:pPr>
      <w:r w:rsidRPr="003D2AB7">
        <w:rPr>
          <w:rFonts w:cstheme="minorHAnsi"/>
          <w:b/>
          <w:bCs/>
          <w:szCs w:val="20"/>
        </w:rPr>
        <w:t xml:space="preserve">New South Wales </w:t>
      </w:r>
      <w:r w:rsidR="00097071" w:rsidRPr="003D2AB7">
        <w:rPr>
          <w:rFonts w:cstheme="minorHAnsi"/>
          <w:b/>
          <w:bCs/>
          <w:szCs w:val="20"/>
        </w:rPr>
        <w:t>Irrigated Farm Modernisation Project</w:t>
      </w:r>
    </w:p>
    <w:p w14:paraId="3932A076" w14:textId="77777777" w:rsidR="00097071" w:rsidRPr="003D2AB7" w:rsidRDefault="00097071" w:rsidP="00811B0B">
      <w:pPr>
        <w:spacing w:before="120" w:after="120" w:line="240" w:lineRule="auto"/>
        <w:rPr>
          <w:rFonts w:cstheme="minorHAnsi"/>
          <w:sz w:val="20"/>
          <w:szCs w:val="20"/>
        </w:rPr>
      </w:pPr>
      <w:r w:rsidRPr="003D2AB7">
        <w:rPr>
          <w:rFonts w:cstheme="minorHAnsi"/>
          <w:sz w:val="20"/>
          <w:szCs w:val="20"/>
        </w:rPr>
        <w:t xml:space="preserve">The IFM </w:t>
      </w:r>
      <w:r w:rsidR="009B168D" w:rsidRPr="003D2AB7">
        <w:rPr>
          <w:rFonts w:cstheme="minorHAnsi"/>
          <w:sz w:val="20"/>
          <w:szCs w:val="20"/>
        </w:rPr>
        <w:t xml:space="preserve">project </w:t>
      </w:r>
      <w:r w:rsidRPr="003D2AB7">
        <w:rPr>
          <w:rFonts w:cstheme="minorHAnsi"/>
          <w:sz w:val="20"/>
          <w:szCs w:val="20"/>
        </w:rPr>
        <w:t xml:space="preserve">aims to </w:t>
      </w:r>
      <w:r w:rsidR="009F452D" w:rsidRPr="003D2AB7">
        <w:rPr>
          <w:rFonts w:cstheme="minorHAnsi"/>
          <w:sz w:val="20"/>
          <w:szCs w:val="20"/>
        </w:rPr>
        <w:t>improve on-farm water use by identifying inefficiencies in irrigation infrastructure</w:t>
      </w:r>
      <w:r w:rsidR="00B1555E" w:rsidRPr="003D2AB7">
        <w:rPr>
          <w:rFonts w:cstheme="minorHAnsi"/>
          <w:sz w:val="20"/>
          <w:szCs w:val="20"/>
        </w:rPr>
        <w:t>,</w:t>
      </w:r>
      <w:r w:rsidR="009F452D" w:rsidRPr="003D2AB7">
        <w:rPr>
          <w:rFonts w:cstheme="minorHAnsi"/>
          <w:sz w:val="20"/>
          <w:szCs w:val="20"/>
        </w:rPr>
        <w:t xml:space="preserve"> and subsequently achieve water savings</w:t>
      </w:r>
      <w:r w:rsidR="0006103E" w:rsidRPr="003D2AB7">
        <w:rPr>
          <w:rFonts w:cstheme="minorHAnsi"/>
          <w:sz w:val="20"/>
          <w:szCs w:val="20"/>
        </w:rPr>
        <w:t xml:space="preserve">. The </w:t>
      </w:r>
      <w:r w:rsidR="00C801FF" w:rsidRPr="003D2AB7">
        <w:rPr>
          <w:rFonts w:cstheme="minorHAnsi"/>
          <w:sz w:val="20"/>
          <w:szCs w:val="20"/>
        </w:rPr>
        <w:t>project</w:t>
      </w:r>
      <w:r w:rsidR="00FA30B4" w:rsidRPr="003D2AB7">
        <w:rPr>
          <w:rFonts w:cstheme="minorHAnsi"/>
          <w:sz w:val="20"/>
          <w:szCs w:val="20"/>
        </w:rPr>
        <w:t xml:space="preserve"> </w:t>
      </w:r>
      <w:r w:rsidR="0006103E" w:rsidRPr="003D2AB7">
        <w:rPr>
          <w:rFonts w:cstheme="minorHAnsi"/>
          <w:sz w:val="20"/>
          <w:szCs w:val="20"/>
        </w:rPr>
        <w:t xml:space="preserve">provides a </w:t>
      </w:r>
      <w:r w:rsidRPr="003D2AB7">
        <w:rPr>
          <w:rFonts w:cstheme="minorHAnsi"/>
          <w:sz w:val="20"/>
          <w:szCs w:val="20"/>
        </w:rPr>
        <w:t>subsidy to eligible irrigators which enable</w:t>
      </w:r>
      <w:r w:rsidR="00C801FF" w:rsidRPr="003D2AB7">
        <w:rPr>
          <w:rFonts w:cstheme="minorHAnsi"/>
          <w:sz w:val="20"/>
          <w:szCs w:val="20"/>
        </w:rPr>
        <w:t xml:space="preserve">s </w:t>
      </w:r>
      <w:r w:rsidR="0006103E" w:rsidRPr="003D2AB7">
        <w:rPr>
          <w:rFonts w:cstheme="minorHAnsi"/>
          <w:sz w:val="20"/>
          <w:szCs w:val="20"/>
        </w:rPr>
        <w:t>upgrade</w:t>
      </w:r>
      <w:r w:rsidR="00C801FF" w:rsidRPr="003D2AB7">
        <w:rPr>
          <w:rFonts w:cstheme="minorHAnsi"/>
          <w:sz w:val="20"/>
          <w:szCs w:val="20"/>
        </w:rPr>
        <w:t>s</w:t>
      </w:r>
      <w:r w:rsidR="0006103E" w:rsidRPr="003D2AB7">
        <w:rPr>
          <w:rFonts w:cstheme="minorHAnsi"/>
          <w:sz w:val="20"/>
          <w:szCs w:val="20"/>
        </w:rPr>
        <w:t xml:space="preserve"> to on-farm </w:t>
      </w:r>
      <w:r w:rsidRPr="003D2AB7">
        <w:rPr>
          <w:rFonts w:cstheme="minorHAnsi"/>
          <w:sz w:val="20"/>
          <w:szCs w:val="20"/>
        </w:rPr>
        <w:t>systems</w:t>
      </w:r>
      <w:r w:rsidR="00C801FF" w:rsidRPr="003D2AB7">
        <w:rPr>
          <w:rFonts w:cstheme="minorHAnsi"/>
          <w:sz w:val="20"/>
          <w:szCs w:val="20"/>
        </w:rPr>
        <w:t>, capacity building</w:t>
      </w:r>
      <w:r w:rsidRPr="003D2AB7">
        <w:rPr>
          <w:rFonts w:cstheme="minorHAnsi"/>
          <w:sz w:val="20"/>
          <w:szCs w:val="20"/>
        </w:rPr>
        <w:t xml:space="preserve"> and recover</w:t>
      </w:r>
      <w:r w:rsidR="00C801FF" w:rsidRPr="003D2AB7">
        <w:rPr>
          <w:rFonts w:cstheme="minorHAnsi"/>
          <w:sz w:val="20"/>
          <w:szCs w:val="20"/>
        </w:rPr>
        <w:t>y of</w:t>
      </w:r>
      <w:r w:rsidRPr="003D2AB7">
        <w:rPr>
          <w:rFonts w:cstheme="minorHAnsi"/>
          <w:sz w:val="20"/>
          <w:szCs w:val="20"/>
        </w:rPr>
        <w:t xml:space="preserve"> water which is shared between the irrigators and the environment; thus </w:t>
      </w:r>
      <w:r w:rsidR="001A0CDC" w:rsidRPr="003D2AB7">
        <w:rPr>
          <w:rFonts w:cstheme="minorHAnsi"/>
          <w:sz w:val="20"/>
          <w:szCs w:val="20"/>
        </w:rPr>
        <w:t xml:space="preserve">aiming to </w:t>
      </w:r>
      <w:r w:rsidRPr="003D2AB7">
        <w:rPr>
          <w:rFonts w:cstheme="minorHAnsi"/>
          <w:sz w:val="20"/>
          <w:szCs w:val="20"/>
        </w:rPr>
        <w:t xml:space="preserve">improving long-term sustainability of regional communities. </w:t>
      </w:r>
      <w:r w:rsidR="008E47FE" w:rsidRPr="003D2AB7">
        <w:rPr>
          <w:rFonts w:cstheme="minorHAnsi"/>
          <w:sz w:val="20"/>
          <w:szCs w:val="20"/>
        </w:rPr>
        <w:t>This project is administered by the New South Wales Government</w:t>
      </w:r>
      <w:r w:rsidR="00B11FA4" w:rsidRPr="003D2AB7">
        <w:rPr>
          <w:rFonts w:cstheme="minorHAnsi"/>
          <w:sz w:val="20"/>
          <w:szCs w:val="20"/>
        </w:rPr>
        <w:t xml:space="preserve"> (NSW)</w:t>
      </w:r>
      <w:r w:rsidR="008E47FE" w:rsidRPr="003D2AB7">
        <w:rPr>
          <w:rFonts w:cstheme="minorHAnsi"/>
          <w:sz w:val="20"/>
          <w:szCs w:val="20"/>
        </w:rPr>
        <w:t xml:space="preserve"> Department of Primary Industries (DPI).</w:t>
      </w:r>
    </w:p>
    <w:p w14:paraId="6642B3B8" w14:textId="77777777" w:rsidR="00D675F9" w:rsidRPr="003D2AB7" w:rsidRDefault="00D675F9" w:rsidP="00811B0B">
      <w:pPr>
        <w:spacing w:before="120" w:after="120" w:line="240" w:lineRule="auto"/>
        <w:rPr>
          <w:rFonts w:cstheme="minorHAnsi"/>
          <w:sz w:val="20"/>
          <w:szCs w:val="20"/>
        </w:rPr>
      </w:pPr>
      <w:r w:rsidRPr="003D2AB7">
        <w:rPr>
          <w:rFonts w:cstheme="minorHAnsi"/>
          <w:sz w:val="20"/>
          <w:szCs w:val="20"/>
        </w:rPr>
        <w:t>The IFM project has three key funding components, these include:</w:t>
      </w:r>
    </w:p>
    <w:p w14:paraId="27F5866B" w14:textId="0237BE1D" w:rsidR="00D675F9" w:rsidRPr="003D2AB7" w:rsidRDefault="00D675F9" w:rsidP="002E6119">
      <w:pPr>
        <w:pStyle w:val="ListParagraph"/>
        <w:numPr>
          <w:ilvl w:val="0"/>
          <w:numId w:val="14"/>
        </w:numPr>
        <w:spacing w:before="60" w:after="60" w:line="240" w:lineRule="auto"/>
        <w:contextualSpacing w:val="0"/>
        <w:rPr>
          <w:rFonts w:cstheme="minorHAnsi"/>
          <w:sz w:val="20"/>
          <w:szCs w:val="20"/>
        </w:rPr>
      </w:pPr>
      <w:r w:rsidRPr="003D2AB7">
        <w:rPr>
          <w:rFonts w:cstheme="minorHAnsi"/>
          <w:i/>
          <w:sz w:val="20"/>
          <w:szCs w:val="20"/>
        </w:rPr>
        <w:t>Subsidised training and development activities</w:t>
      </w:r>
      <w:r w:rsidRPr="003D2AB7">
        <w:rPr>
          <w:rFonts w:cstheme="minorHAnsi"/>
          <w:sz w:val="20"/>
          <w:szCs w:val="20"/>
        </w:rPr>
        <w:t xml:space="preserve">: </w:t>
      </w:r>
      <w:r w:rsidR="00E31D85" w:rsidRPr="003D2AB7">
        <w:rPr>
          <w:rFonts w:cstheme="minorHAnsi"/>
          <w:sz w:val="20"/>
          <w:szCs w:val="20"/>
        </w:rPr>
        <w:t>T</w:t>
      </w:r>
      <w:r w:rsidRPr="003D2AB7">
        <w:rPr>
          <w:rFonts w:cstheme="minorHAnsi"/>
          <w:sz w:val="20"/>
          <w:szCs w:val="20"/>
        </w:rPr>
        <w:t>raining and development activities including field trips, formal training events</w:t>
      </w:r>
      <w:r w:rsidR="00B1555E" w:rsidRPr="003D2AB7">
        <w:rPr>
          <w:rFonts w:cstheme="minorHAnsi"/>
          <w:sz w:val="20"/>
          <w:szCs w:val="20"/>
        </w:rPr>
        <w:t>,</w:t>
      </w:r>
      <w:r w:rsidRPr="003D2AB7">
        <w:rPr>
          <w:rFonts w:cstheme="minorHAnsi"/>
          <w:sz w:val="20"/>
          <w:szCs w:val="20"/>
        </w:rPr>
        <w:t xml:space="preserve"> and workshops covering</w:t>
      </w:r>
      <w:r w:rsidR="0006103E" w:rsidRPr="003D2AB7">
        <w:rPr>
          <w:rFonts w:cstheme="minorHAnsi"/>
          <w:sz w:val="20"/>
          <w:szCs w:val="20"/>
        </w:rPr>
        <w:t xml:space="preserve"> various irrigation and water saving topics. DPI subsidise training events, courses, field days, farm walks and various other activities that increase the capacity of irrigators to effectively plan and implement efficient water management practices</w:t>
      </w:r>
      <w:r w:rsidR="00FA30B4" w:rsidRPr="003D2AB7">
        <w:rPr>
          <w:rFonts w:cstheme="minorHAnsi"/>
          <w:sz w:val="20"/>
          <w:szCs w:val="20"/>
        </w:rPr>
        <w:t>.</w:t>
      </w:r>
      <w:r w:rsidR="00C801FF" w:rsidRPr="003D2AB7">
        <w:rPr>
          <w:rFonts w:cstheme="minorHAnsi"/>
          <w:sz w:val="20"/>
          <w:szCs w:val="20"/>
        </w:rPr>
        <w:t xml:space="preserve"> </w:t>
      </w:r>
    </w:p>
    <w:p w14:paraId="113271EB" w14:textId="1FAEE7A7" w:rsidR="00D675F9" w:rsidRPr="003D2AB7" w:rsidRDefault="00D675F9" w:rsidP="002E6119">
      <w:pPr>
        <w:pStyle w:val="ListParagraph"/>
        <w:numPr>
          <w:ilvl w:val="0"/>
          <w:numId w:val="14"/>
        </w:numPr>
        <w:spacing w:before="60" w:after="60" w:line="240" w:lineRule="auto"/>
        <w:contextualSpacing w:val="0"/>
        <w:rPr>
          <w:rFonts w:cstheme="minorHAnsi"/>
          <w:sz w:val="20"/>
          <w:szCs w:val="20"/>
        </w:rPr>
      </w:pPr>
      <w:r w:rsidRPr="003D2AB7">
        <w:rPr>
          <w:rFonts w:cstheme="minorHAnsi"/>
          <w:i/>
          <w:sz w:val="20"/>
          <w:szCs w:val="20"/>
        </w:rPr>
        <w:t>Irrigation Farm Water Use Efficiency Assessments (IFWUEAs)</w:t>
      </w:r>
      <w:r w:rsidR="0006103E" w:rsidRPr="003D2AB7">
        <w:rPr>
          <w:rFonts w:cstheme="minorHAnsi"/>
          <w:i/>
          <w:sz w:val="20"/>
          <w:szCs w:val="20"/>
        </w:rPr>
        <w:t>:</w:t>
      </w:r>
      <w:r w:rsidR="0006103E" w:rsidRPr="003D2AB7">
        <w:rPr>
          <w:rFonts w:cstheme="minorHAnsi"/>
          <w:sz w:val="20"/>
          <w:szCs w:val="20"/>
        </w:rPr>
        <w:t xml:space="preserve"> </w:t>
      </w:r>
      <w:r w:rsidR="00E31D85" w:rsidRPr="003D2AB7">
        <w:rPr>
          <w:rFonts w:cstheme="minorHAnsi"/>
          <w:sz w:val="20"/>
          <w:szCs w:val="20"/>
        </w:rPr>
        <w:t>I</w:t>
      </w:r>
      <w:r w:rsidR="0006103E" w:rsidRPr="003D2AB7">
        <w:rPr>
          <w:rFonts w:cstheme="minorHAnsi"/>
          <w:sz w:val="20"/>
          <w:szCs w:val="20"/>
        </w:rPr>
        <w:t xml:space="preserve">rrigators with eligible water entitlements in the NSW may undertake an IFWUEA to identify and quantify irrigation water losses across an irrigator’s Irrigation Management Area. The IFM project will </w:t>
      </w:r>
      <w:r w:rsidR="00544EEB" w:rsidRPr="003D2AB7">
        <w:rPr>
          <w:rFonts w:cstheme="minorHAnsi"/>
          <w:sz w:val="20"/>
          <w:szCs w:val="20"/>
        </w:rPr>
        <w:t xml:space="preserve">fund a proportion </w:t>
      </w:r>
      <w:r w:rsidR="0006103E" w:rsidRPr="003D2AB7">
        <w:rPr>
          <w:rFonts w:cstheme="minorHAnsi"/>
          <w:sz w:val="20"/>
          <w:szCs w:val="20"/>
        </w:rPr>
        <w:t>of the cash cost of preparing an IFWUEA</w:t>
      </w:r>
      <w:r w:rsidR="00B60932" w:rsidRPr="003D2AB7">
        <w:rPr>
          <w:rFonts w:cstheme="minorHAnsi"/>
          <w:sz w:val="20"/>
          <w:szCs w:val="20"/>
        </w:rPr>
        <w:t>.</w:t>
      </w:r>
    </w:p>
    <w:p w14:paraId="5748FCF1" w14:textId="2B1679E1" w:rsidR="00D675F9" w:rsidRPr="003D2AB7" w:rsidRDefault="00D675F9" w:rsidP="00251635">
      <w:pPr>
        <w:pStyle w:val="ListParagraph"/>
        <w:numPr>
          <w:ilvl w:val="0"/>
          <w:numId w:val="14"/>
        </w:numPr>
        <w:spacing w:before="60" w:after="60" w:line="240" w:lineRule="auto"/>
        <w:contextualSpacing w:val="0"/>
        <w:rPr>
          <w:rFonts w:cstheme="minorHAnsi"/>
          <w:sz w:val="20"/>
          <w:szCs w:val="20"/>
        </w:rPr>
      </w:pPr>
      <w:r w:rsidRPr="003D2AB7">
        <w:rPr>
          <w:rFonts w:cstheme="minorHAnsi"/>
          <w:i/>
          <w:sz w:val="20"/>
          <w:szCs w:val="20"/>
        </w:rPr>
        <w:t>On-farm infrastructure</w:t>
      </w:r>
      <w:r w:rsidR="0006103E" w:rsidRPr="003D2AB7">
        <w:rPr>
          <w:rFonts w:cstheme="minorHAnsi"/>
          <w:i/>
          <w:sz w:val="20"/>
          <w:szCs w:val="20"/>
        </w:rPr>
        <w:t xml:space="preserve"> modernisation:</w:t>
      </w:r>
      <w:r w:rsidR="0006103E" w:rsidRPr="003D2AB7">
        <w:rPr>
          <w:rFonts w:cstheme="minorHAnsi"/>
          <w:sz w:val="20"/>
          <w:szCs w:val="20"/>
        </w:rPr>
        <w:t xml:space="preserve"> </w:t>
      </w:r>
      <w:r w:rsidR="00E31D85" w:rsidRPr="003D2AB7">
        <w:rPr>
          <w:rFonts w:cstheme="minorHAnsi"/>
          <w:sz w:val="20"/>
          <w:szCs w:val="20"/>
        </w:rPr>
        <w:t>T</w:t>
      </w:r>
      <w:r w:rsidR="00DD23DA" w:rsidRPr="003D2AB7">
        <w:rPr>
          <w:rFonts w:cstheme="minorHAnsi"/>
          <w:sz w:val="20"/>
          <w:szCs w:val="20"/>
        </w:rPr>
        <w:t xml:space="preserve">his is the primary funding component of the IFM project. </w:t>
      </w:r>
      <w:r w:rsidR="008E47FE" w:rsidRPr="003D2AB7">
        <w:rPr>
          <w:rFonts w:cstheme="minorHAnsi"/>
          <w:sz w:val="20"/>
          <w:szCs w:val="20"/>
        </w:rPr>
        <w:t>The I</w:t>
      </w:r>
      <w:r w:rsidR="00A67A0B" w:rsidRPr="003D2AB7">
        <w:rPr>
          <w:rFonts w:cstheme="minorHAnsi"/>
          <w:sz w:val="20"/>
          <w:szCs w:val="20"/>
        </w:rPr>
        <w:t xml:space="preserve">FM </w:t>
      </w:r>
      <w:r w:rsidR="008E47FE" w:rsidRPr="003D2AB7">
        <w:rPr>
          <w:rFonts w:cstheme="minorHAnsi"/>
          <w:sz w:val="20"/>
          <w:szCs w:val="20"/>
        </w:rPr>
        <w:t xml:space="preserve">project </w:t>
      </w:r>
      <w:r w:rsidR="00A67A0B" w:rsidRPr="003D2AB7">
        <w:rPr>
          <w:rFonts w:cstheme="minorHAnsi"/>
          <w:sz w:val="20"/>
          <w:szCs w:val="20"/>
        </w:rPr>
        <w:t xml:space="preserve">may fund up to 80% </w:t>
      </w:r>
      <w:r w:rsidR="001A0CDC" w:rsidRPr="003D2AB7">
        <w:rPr>
          <w:rFonts w:cstheme="minorHAnsi"/>
          <w:sz w:val="20"/>
          <w:szCs w:val="20"/>
        </w:rPr>
        <w:t xml:space="preserve">of the </w:t>
      </w:r>
      <w:r w:rsidR="00A67A0B" w:rsidRPr="003D2AB7">
        <w:rPr>
          <w:rFonts w:cstheme="minorHAnsi"/>
          <w:sz w:val="20"/>
          <w:szCs w:val="20"/>
        </w:rPr>
        <w:t xml:space="preserve">cost of infrastructure modernisation works in exchange for at least 50% of the water </w:t>
      </w:r>
      <w:r w:rsidR="001A0CDC" w:rsidRPr="003D2AB7">
        <w:rPr>
          <w:rFonts w:cstheme="minorHAnsi"/>
          <w:sz w:val="20"/>
          <w:szCs w:val="20"/>
        </w:rPr>
        <w:t>savings</w:t>
      </w:r>
      <w:r w:rsidR="00DD23DA" w:rsidRPr="003D2AB7">
        <w:rPr>
          <w:rFonts w:cstheme="minorHAnsi"/>
          <w:sz w:val="20"/>
          <w:szCs w:val="20"/>
        </w:rPr>
        <w:t xml:space="preserve"> (by permanent transfer of water allocation)</w:t>
      </w:r>
      <w:r w:rsidR="001A0CDC" w:rsidRPr="003D2AB7">
        <w:rPr>
          <w:rFonts w:cstheme="minorHAnsi"/>
          <w:sz w:val="20"/>
          <w:szCs w:val="20"/>
        </w:rPr>
        <w:t xml:space="preserve"> </w:t>
      </w:r>
      <w:r w:rsidR="00A67A0B" w:rsidRPr="003D2AB7">
        <w:rPr>
          <w:rFonts w:cstheme="minorHAnsi"/>
          <w:sz w:val="20"/>
          <w:szCs w:val="20"/>
        </w:rPr>
        <w:t xml:space="preserve">recovered by a proposed project. Proposed projects must offer </w:t>
      </w:r>
      <w:r w:rsidR="001A0CDC" w:rsidRPr="003D2AB7">
        <w:rPr>
          <w:rFonts w:cstheme="minorHAnsi"/>
          <w:sz w:val="20"/>
          <w:szCs w:val="20"/>
        </w:rPr>
        <w:t>a minimum of</w:t>
      </w:r>
      <w:r w:rsidR="00A67A0B" w:rsidRPr="003D2AB7">
        <w:rPr>
          <w:rFonts w:cstheme="minorHAnsi"/>
          <w:sz w:val="20"/>
          <w:szCs w:val="20"/>
        </w:rPr>
        <w:t xml:space="preserve"> 10ML of entitlement.</w:t>
      </w:r>
      <w:r w:rsidR="008E47FE" w:rsidRPr="003D2AB7">
        <w:rPr>
          <w:rFonts w:cstheme="minorHAnsi"/>
          <w:sz w:val="20"/>
          <w:szCs w:val="20"/>
        </w:rPr>
        <w:t xml:space="preserve"> </w:t>
      </w:r>
      <w:r w:rsidR="00DD23DA" w:rsidRPr="003D2AB7">
        <w:rPr>
          <w:rFonts w:cstheme="minorHAnsi"/>
          <w:sz w:val="20"/>
          <w:szCs w:val="20"/>
        </w:rPr>
        <w:t>The primary funding component of the project is on-farm infrastructure modernisation</w:t>
      </w:r>
      <w:r w:rsidR="00FA30B4" w:rsidRPr="003D2AB7">
        <w:rPr>
          <w:rFonts w:cstheme="minorHAnsi"/>
          <w:sz w:val="20"/>
          <w:szCs w:val="20"/>
        </w:rPr>
        <w:t>.</w:t>
      </w:r>
    </w:p>
    <w:p w14:paraId="261C88B6" w14:textId="77777777" w:rsidR="008E47FE" w:rsidRPr="003D2AB7" w:rsidRDefault="00C801FF" w:rsidP="00811B0B">
      <w:pPr>
        <w:spacing w:before="120" w:after="120" w:line="240" w:lineRule="auto"/>
        <w:rPr>
          <w:rFonts w:cstheme="minorHAnsi"/>
          <w:sz w:val="20"/>
          <w:szCs w:val="20"/>
        </w:rPr>
      </w:pPr>
      <w:r w:rsidRPr="003D2AB7">
        <w:rPr>
          <w:rFonts w:cstheme="minorHAnsi"/>
          <w:sz w:val="20"/>
          <w:szCs w:val="20"/>
        </w:rPr>
        <w:t>The pilot</w:t>
      </w:r>
      <w:r w:rsidR="008E47FE" w:rsidRPr="003D2AB7">
        <w:rPr>
          <w:rFonts w:cstheme="minorHAnsi"/>
          <w:sz w:val="20"/>
          <w:szCs w:val="20"/>
        </w:rPr>
        <w:t xml:space="preserve"> commenced in October 2009. Following a review and subsequent business case by DPI, </w:t>
      </w:r>
      <w:r w:rsidRPr="003D2AB7">
        <w:rPr>
          <w:rFonts w:cstheme="minorHAnsi"/>
          <w:sz w:val="20"/>
          <w:szCs w:val="20"/>
        </w:rPr>
        <w:t>the next phase</w:t>
      </w:r>
      <w:r w:rsidR="008E47FE" w:rsidRPr="003D2AB7">
        <w:rPr>
          <w:rFonts w:cstheme="minorHAnsi"/>
          <w:sz w:val="20"/>
          <w:szCs w:val="20"/>
        </w:rPr>
        <w:t xml:space="preserve"> </w:t>
      </w:r>
      <w:r w:rsidR="00E0182F" w:rsidRPr="003D2AB7">
        <w:rPr>
          <w:rFonts w:cstheme="minorHAnsi"/>
          <w:sz w:val="20"/>
          <w:szCs w:val="20"/>
        </w:rPr>
        <w:t xml:space="preserve">of </w:t>
      </w:r>
      <w:r w:rsidR="008E47FE" w:rsidRPr="003D2AB7">
        <w:rPr>
          <w:rFonts w:cstheme="minorHAnsi"/>
          <w:sz w:val="20"/>
          <w:szCs w:val="20"/>
        </w:rPr>
        <w:t>the project commenced on 4 June 2012. The project will conclude on or before 30 June 20</w:t>
      </w:r>
      <w:r w:rsidR="009F452D" w:rsidRPr="003D2AB7">
        <w:rPr>
          <w:rFonts w:cstheme="minorHAnsi"/>
          <w:sz w:val="20"/>
          <w:szCs w:val="20"/>
        </w:rPr>
        <w:t>19</w:t>
      </w:r>
      <w:r w:rsidR="00544EEB" w:rsidRPr="003D2AB7">
        <w:rPr>
          <w:rFonts w:cstheme="minorHAnsi"/>
          <w:sz w:val="20"/>
          <w:szCs w:val="20"/>
        </w:rPr>
        <w:t>.</w:t>
      </w:r>
    </w:p>
    <w:p w14:paraId="2FB57BD2" w14:textId="77777777" w:rsidR="00515B4E" w:rsidRPr="003D2AB7" w:rsidRDefault="00811B0B" w:rsidP="00F74EDA">
      <w:pPr>
        <w:spacing w:before="120" w:after="120" w:line="240" w:lineRule="auto"/>
        <w:rPr>
          <w:rFonts w:cstheme="minorHAnsi"/>
          <w:sz w:val="20"/>
          <w:szCs w:val="20"/>
        </w:rPr>
      </w:pPr>
      <w:r w:rsidRPr="003D2AB7">
        <w:rPr>
          <w:rFonts w:cstheme="minorHAnsi"/>
          <w:sz w:val="20"/>
          <w:szCs w:val="20"/>
        </w:rPr>
        <w:t>The</w:t>
      </w:r>
      <w:r w:rsidR="00361DD8" w:rsidRPr="003D2AB7">
        <w:rPr>
          <w:rFonts w:cstheme="minorHAnsi"/>
          <w:sz w:val="20"/>
          <w:szCs w:val="20"/>
        </w:rPr>
        <w:t xml:space="preserve"> </w:t>
      </w:r>
      <w:r w:rsidR="00544EEB" w:rsidRPr="003D2AB7">
        <w:rPr>
          <w:rFonts w:cstheme="minorHAnsi"/>
          <w:sz w:val="20"/>
          <w:szCs w:val="20"/>
        </w:rPr>
        <w:t xml:space="preserve">maximum </w:t>
      </w:r>
      <w:r w:rsidR="00361DD8" w:rsidRPr="003D2AB7">
        <w:rPr>
          <w:rFonts w:cstheme="minorHAnsi"/>
          <w:sz w:val="20"/>
          <w:szCs w:val="20"/>
        </w:rPr>
        <w:t>available</w:t>
      </w:r>
      <w:r w:rsidRPr="003D2AB7">
        <w:rPr>
          <w:rFonts w:cstheme="minorHAnsi"/>
          <w:sz w:val="20"/>
          <w:szCs w:val="20"/>
        </w:rPr>
        <w:t xml:space="preserve"> funding fo</w:t>
      </w:r>
      <w:r w:rsidR="00097071" w:rsidRPr="003D2AB7">
        <w:rPr>
          <w:rFonts w:cstheme="minorHAnsi"/>
          <w:sz w:val="20"/>
          <w:szCs w:val="20"/>
        </w:rPr>
        <w:t>r this project amounts to $111</w:t>
      </w:r>
      <w:r w:rsidRPr="003D2AB7">
        <w:rPr>
          <w:rFonts w:cstheme="minorHAnsi"/>
          <w:sz w:val="20"/>
          <w:szCs w:val="20"/>
        </w:rPr>
        <w:t xml:space="preserve"> million, as per the Commonwealth’s Sustainable Rural Water Use and Infrastructure Program. At the time of </w:t>
      </w:r>
      <w:r w:rsidR="00361DD8" w:rsidRPr="003D2AB7">
        <w:rPr>
          <w:rFonts w:cstheme="minorHAnsi"/>
          <w:sz w:val="20"/>
          <w:szCs w:val="20"/>
        </w:rPr>
        <w:t xml:space="preserve">this </w:t>
      </w:r>
      <w:r w:rsidRPr="003D2AB7">
        <w:rPr>
          <w:rFonts w:cstheme="minorHAnsi"/>
          <w:sz w:val="20"/>
          <w:szCs w:val="20"/>
        </w:rPr>
        <w:t xml:space="preserve">review, </w:t>
      </w:r>
      <w:r w:rsidR="00361DD8" w:rsidRPr="003D2AB7">
        <w:rPr>
          <w:rFonts w:cstheme="minorHAnsi"/>
          <w:sz w:val="20"/>
          <w:szCs w:val="20"/>
        </w:rPr>
        <w:t>IFM</w:t>
      </w:r>
      <w:r w:rsidRPr="003D2AB7">
        <w:rPr>
          <w:rFonts w:cstheme="minorHAnsi"/>
          <w:sz w:val="20"/>
          <w:szCs w:val="20"/>
        </w:rPr>
        <w:t xml:space="preserve"> had </w:t>
      </w:r>
      <w:r w:rsidR="00097071" w:rsidRPr="003D2AB7">
        <w:rPr>
          <w:rFonts w:cstheme="minorHAnsi"/>
          <w:sz w:val="20"/>
          <w:szCs w:val="20"/>
        </w:rPr>
        <w:t>1</w:t>
      </w:r>
      <w:r w:rsidR="00C47555" w:rsidRPr="003D2AB7">
        <w:rPr>
          <w:rFonts w:cstheme="minorHAnsi"/>
          <w:sz w:val="20"/>
          <w:szCs w:val="20"/>
        </w:rPr>
        <w:t>12</w:t>
      </w:r>
      <w:r w:rsidRPr="003D2AB7">
        <w:rPr>
          <w:rFonts w:cstheme="minorHAnsi"/>
          <w:sz w:val="20"/>
          <w:szCs w:val="20"/>
        </w:rPr>
        <w:t xml:space="preserve"> approved </w:t>
      </w:r>
      <w:r w:rsidR="00097071" w:rsidRPr="003D2AB7">
        <w:rPr>
          <w:rFonts w:cstheme="minorHAnsi"/>
          <w:sz w:val="20"/>
          <w:szCs w:val="20"/>
        </w:rPr>
        <w:t>proponent projects</w:t>
      </w:r>
      <w:r w:rsidR="00544EEB" w:rsidRPr="003D2AB7">
        <w:rPr>
          <w:rFonts w:cstheme="minorHAnsi"/>
          <w:sz w:val="20"/>
          <w:szCs w:val="20"/>
        </w:rPr>
        <w:t xml:space="preserve"> (111</w:t>
      </w:r>
      <w:r w:rsidR="00AE428D" w:rsidRPr="003D2AB7">
        <w:rPr>
          <w:rFonts w:cstheme="minorHAnsi"/>
          <w:sz w:val="20"/>
          <w:szCs w:val="20"/>
        </w:rPr>
        <w:t xml:space="preserve"> </w:t>
      </w:r>
      <w:r w:rsidR="008A13CF" w:rsidRPr="003D2AB7">
        <w:rPr>
          <w:rFonts w:cstheme="minorHAnsi"/>
          <w:sz w:val="20"/>
          <w:szCs w:val="20"/>
        </w:rPr>
        <w:t>projects</w:t>
      </w:r>
      <w:r w:rsidR="00544EEB" w:rsidRPr="003D2AB7">
        <w:rPr>
          <w:rFonts w:cstheme="minorHAnsi"/>
          <w:sz w:val="20"/>
          <w:szCs w:val="20"/>
        </w:rPr>
        <w:t xml:space="preserve"> proceeding to construction)</w:t>
      </w:r>
      <w:r w:rsidR="00C47555" w:rsidRPr="003D2AB7">
        <w:rPr>
          <w:rFonts w:cstheme="minorHAnsi"/>
          <w:sz w:val="20"/>
          <w:szCs w:val="20"/>
        </w:rPr>
        <w:t xml:space="preserve"> across nine</w:t>
      </w:r>
      <w:r w:rsidR="00361DD8" w:rsidRPr="003D2AB7">
        <w:rPr>
          <w:rFonts w:cstheme="minorHAnsi"/>
          <w:sz w:val="20"/>
          <w:szCs w:val="20"/>
        </w:rPr>
        <w:t xml:space="preserve"> (9)</w:t>
      </w:r>
      <w:r w:rsidR="00C47555" w:rsidRPr="003D2AB7">
        <w:rPr>
          <w:rFonts w:cstheme="minorHAnsi"/>
          <w:sz w:val="20"/>
          <w:szCs w:val="20"/>
        </w:rPr>
        <w:t xml:space="preserve"> funding rounds</w:t>
      </w:r>
      <w:r w:rsidRPr="003D2AB7">
        <w:rPr>
          <w:rFonts w:cstheme="minorHAnsi"/>
          <w:sz w:val="20"/>
          <w:szCs w:val="20"/>
        </w:rPr>
        <w:t xml:space="preserve">, representing approximately </w:t>
      </w:r>
      <w:r w:rsidR="00097071" w:rsidRPr="003D2AB7">
        <w:rPr>
          <w:rFonts w:cstheme="minorHAnsi"/>
          <w:sz w:val="20"/>
          <w:szCs w:val="20"/>
        </w:rPr>
        <w:t>34 GL</w:t>
      </w:r>
      <w:r w:rsidRPr="003D2AB7">
        <w:rPr>
          <w:rFonts w:cstheme="minorHAnsi"/>
          <w:sz w:val="20"/>
          <w:szCs w:val="20"/>
        </w:rPr>
        <w:t xml:space="preserve"> of water savings and more than $</w:t>
      </w:r>
      <w:r w:rsidR="00C47555" w:rsidRPr="003D2AB7">
        <w:rPr>
          <w:rFonts w:cstheme="minorHAnsi"/>
          <w:sz w:val="20"/>
          <w:szCs w:val="20"/>
        </w:rPr>
        <w:t>89</w:t>
      </w:r>
      <w:r w:rsidRPr="003D2AB7">
        <w:rPr>
          <w:rFonts w:cstheme="minorHAnsi"/>
          <w:sz w:val="20"/>
          <w:szCs w:val="20"/>
        </w:rPr>
        <w:t xml:space="preserve"> million in Commonwealth funding.</w:t>
      </w:r>
      <w:r w:rsidR="00BE4870" w:rsidRPr="003D2AB7">
        <w:rPr>
          <w:rFonts w:cstheme="minorHAnsi"/>
          <w:sz w:val="20"/>
          <w:szCs w:val="20"/>
        </w:rPr>
        <w:t xml:space="preserve"> No further funding rounds </w:t>
      </w:r>
      <w:r w:rsidR="00361DD8" w:rsidRPr="003D2AB7">
        <w:rPr>
          <w:rFonts w:cstheme="minorHAnsi"/>
          <w:sz w:val="20"/>
          <w:szCs w:val="20"/>
        </w:rPr>
        <w:t xml:space="preserve">are </w:t>
      </w:r>
      <w:r w:rsidR="00BE4870" w:rsidRPr="003D2AB7">
        <w:rPr>
          <w:rFonts w:cstheme="minorHAnsi"/>
          <w:sz w:val="20"/>
          <w:szCs w:val="20"/>
        </w:rPr>
        <w:t xml:space="preserve">expected to be conducted under this project. </w:t>
      </w:r>
    </w:p>
    <w:p w14:paraId="605BE8A0" w14:textId="77777777" w:rsidR="00E621EE" w:rsidRPr="003D2AB7" w:rsidRDefault="00E621EE" w:rsidP="00E621EE">
      <w:pPr>
        <w:pStyle w:val="Heading2"/>
        <w:rPr>
          <w:rFonts w:asciiTheme="minorHAnsi" w:hAnsiTheme="minorHAnsi" w:cstheme="minorHAnsi"/>
        </w:rPr>
      </w:pPr>
      <w:bookmarkStart w:id="9" w:name="_Toc532474947"/>
      <w:r w:rsidRPr="003D2AB7">
        <w:rPr>
          <w:rFonts w:asciiTheme="minorHAnsi" w:hAnsiTheme="minorHAnsi" w:cstheme="minorHAnsi"/>
        </w:rPr>
        <w:t>Purpose of this report</w:t>
      </w:r>
      <w:bookmarkEnd w:id="9"/>
    </w:p>
    <w:p w14:paraId="40F82AF3" w14:textId="4895C785" w:rsidR="00E621EE" w:rsidRPr="003D2AB7" w:rsidRDefault="00643E0A" w:rsidP="00F74EDA">
      <w:pPr>
        <w:spacing w:before="120" w:after="120" w:line="240" w:lineRule="auto"/>
        <w:rPr>
          <w:rFonts w:cstheme="minorHAnsi"/>
          <w:sz w:val="20"/>
          <w:szCs w:val="20"/>
        </w:rPr>
      </w:pPr>
      <w:r w:rsidRPr="003D2AB7">
        <w:rPr>
          <w:rFonts w:cstheme="minorHAnsi"/>
          <w:sz w:val="20"/>
          <w:szCs w:val="20"/>
        </w:rPr>
        <w:t xml:space="preserve">DAWR engaged KPMG to review the governance, risk and control processes for State Priority Projects administered through the Program to ensure effective use of Commonwealth funds. This engagement </w:t>
      </w:r>
      <w:r w:rsidR="00FA30B4" w:rsidRPr="003D2AB7">
        <w:rPr>
          <w:rFonts w:cstheme="minorHAnsi"/>
          <w:sz w:val="20"/>
          <w:szCs w:val="20"/>
        </w:rPr>
        <w:t>was</w:t>
      </w:r>
      <w:r w:rsidRPr="003D2AB7">
        <w:rPr>
          <w:rFonts w:cstheme="minorHAnsi"/>
          <w:sz w:val="20"/>
          <w:szCs w:val="20"/>
        </w:rPr>
        <w:t xml:space="preserve"> limited to the Queensland </w:t>
      </w:r>
      <w:r w:rsidR="00C801FF" w:rsidRPr="003D2AB7">
        <w:rPr>
          <w:rFonts w:cstheme="minorHAnsi"/>
          <w:sz w:val="20"/>
          <w:szCs w:val="20"/>
        </w:rPr>
        <w:t>Healthy HeadWaters Water Use Efficiency Project</w:t>
      </w:r>
      <w:r w:rsidRPr="003D2AB7">
        <w:rPr>
          <w:rFonts w:cstheme="minorHAnsi"/>
          <w:sz w:val="20"/>
          <w:szCs w:val="20"/>
        </w:rPr>
        <w:t xml:space="preserve">, </w:t>
      </w:r>
      <w:r w:rsidR="00B11FA4" w:rsidRPr="003D2AB7">
        <w:rPr>
          <w:rFonts w:cstheme="minorHAnsi"/>
          <w:sz w:val="20"/>
          <w:szCs w:val="20"/>
        </w:rPr>
        <w:t>NSW</w:t>
      </w:r>
      <w:r w:rsidRPr="003D2AB7">
        <w:rPr>
          <w:rFonts w:cstheme="minorHAnsi"/>
          <w:sz w:val="20"/>
          <w:szCs w:val="20"/>
        </w:rPr>
        <w:t xml:space="preserve"> Basin Pipe Project and </w:t>
      </w:r>
      <w:r w:rsidR="00B11FA4" w:rsidRPr="003D2AB7">
        <w:rPr>
          <w:rFonts w:cstheme="minorHAnsi"/>
          <w:sz w:val="20"/>
          <w:szCs w:val="20"/>
        </w:rPr>
        <w:t>NSW</w:t>
      </w:r>
      <w:r w:rsidRPr="003D2AB7">
        <w:rPr>
          <w:rFonts w:cstheme="minorHAnsi"/>
          <w:sz w:val="20"/>
          <w:szCs w:val="20"/>
        </w:rPr>
        <w:t xml:space="preserve"> </w:t>
      </w:r>
      <w:r w:rsidR="00C801FF" w:rsidRPr="003D2AB7">
        <w:rPr>
          <w:rFonts w:cstheme="minorHAnsi"/>
          <w:sz w:val="20"/>
          <w:szCs w:val="20"/>
        </w:rPr>
        <w:t>IFM</w:t>
      </w:r>
      <w:r w:rsidRPr="003D2AB7">
        <w:rPr>
          <w:rFonts w:cstheme="minorHAnsi"/>
          <w:sz w:val="20"/>
          <w:szCs w:val="20"/>
        </w:rPr>
        <w:t xml:space="preserve"> State Priority Projects. </w:t>
      </w:r>
      <w:r w:rsidR="00E621EE" w:rsidRPr="003D2AB7">
        <w:rPr>
          <w:rFonts w:cstheme="minorHAnsi"/>
          <w:sz w:val="20"/>
          <w:szCs w:val="20"/>
        </w:rPr>
        <w:t xml:space="preserve">This report presents findings and observations in relation to KPMG’s </w:t>
      </w:r>
      <w:r w:rsidRPr="003D2AB7">
        <w:rPr>
          <w:rFonts w:cstheme="minorHAnsi"/>
          <w:sz w:val="20"/>
          <w:szCs w:val="20"/>
        </w:rPr>
        <w:t xml:space="preserve">assessment of the </w:t>
      </w:r>
      <w:r w:rsidR="00A67A0B" w:rsidRPr="003D2AB7">
        <w:rPr>
          <w:rFonts w:cstheme="minorHAnsi"/>
          <w:sz w:val="20"/>
          <w:szCs w:val="20"/>
        </w:rPr>
        <w:t>IFM</w:t>
      </w:r>
      <w:r w:rsidR="00811B0B" w:rsidRPr="003D2AB7">
        <w:rPr>
          <w:rFonts w:cstheme="minorHAnsi"/>
          <w:sz w:val="20"/>
          <w:szCs w:val="20"/>
        </w:rPr>
        <w:t xml:space="preserve"> P</w:t>
      </w:r>
      <w:r w:rsidRPr="003D2AB7">
        <w:rPr>
          <w:rFonts w:cstheme="minorHAnsi"/>
          <w:sz w:val="20"/>
          <w:szCs w:val="20"/>
        </w:rPr>
        <w:t>roject; the objective of which was to:</w:t>
      </w:r>
    </w:p>
    <w:p w14:paraId="0B948A8A" w14:textId="77777777" w:rsidR="00336886" w:rsidRPr="003D2AB7" w:rsidRDefault="00336886" w:rsidP="003E73C2">
      <w:pPr>
        <w:spacing w:before="120" w:after="120" w:line="240" w:lineRule="auto"/>
        <w:rPr>
          <w:rFonts w:cstheme="minorHAnsi"/>
          <w:i/>
          <w:sz w:val="20"/>
          <w:szCs w:val="20"/>
        </w:rPr>
      </w:pPr>
      <w:bookmarkStart w:id="10" w:name="_Toc522868839"/>
      <w:bookmarkStart w:id="11" w:name="_Toc522868840"/>
      <w:bookmarkEnd w:id="10"/>
      <w:bookmarkEnd w:id="11"/>
      <w:r w:rsidRPr="003D2AB7">
        <w:rPr>
          <w:rFonts w:cstheme="minorHAnsi"/>
          <w:i/>
          <w:sz w:val="20"/>
          <w:szCs w:val="20"/>
        </w:rPr>
        <w:t>Review the governance, risk and control processes for State Priority Projects administered through Sustainable Rural Water Use and Infrastructure Program to ensure effective use of Commonwealth funds. (Refer</w:t>
      </w:r>
      <w:r w:rsidR="00FA30B4" w:rsidRPr="003D2AB7">
        <w:rPr>
          <w:rFonts w:cstheme="minorHAnsi"/>
          <w:i/>
          <w:sz w:val="20"/>
          <w:szCs w:val="20"/>
        </w:rPr>
        <w:t xml:space="preserve"> to</w:t>
      </w:r>
      <w:r w:rsidRPr="003D2AB7">
        <w:rPr>
          <w:rFonts w:cstheme="minorHAnsi"/>
          <w:i/>
          <w:sz w:val="20"/>
          <w:szCs w:val="20"/>
        </w:rPr>
        <w:t xml:space="preserve"> </w:t>
      </w:r>
      <w:r w:rsidRPr="003D2AB7">
        <w:rPr>
          <w:rFonts w:cstheme="minorHAnsi"/>
          <w:b/>
          <w:i/>
          <w:sz w:val="20"/>
          <w:szCs w:val="20"/>
        </w:rPr>
        <w:t>Appendix A</w:t>
      </w:r>
      <w:r w:rsidRPr="003D2AB7">
        <w:rPr>
          <w:rFonts w:cstheme="minorHAnsi"/>
          <w:i/>
          <w:sz w:val="20"/>
          <w:szCs w:val="20"/>
        </w:rPr>
        <w:t xml:space="preserve"> for further de</w:t>
      </w:r>
      <w:r w:rsidR="00515B4E" w:rsidRPr="003D2AB7">
        <w:rPr>
          <w:rFonts w:cstheme="minorHAnsi"/>
          <w:i/>
          <w:sz w:val="20"/>
          <w:szCs w:val="20"/>
        </w:rPr>
        <w:t>tails on the scope</w:t>
      </w:r>
      <w:r w:rsidRPr="003D2AB7">
        <w:rPr>
          <w:rFonts w:cstheme="minorHAnsi"/>
          <w:i/>
          <w:sz w:val="20"/>
          <w:szCs w:val="20"/>
        </w:rPr>
        <w:t>).</w:t>
      </w:r>
      <w:r w:rsidR="006F49F1" w:rsidRPr="003D2AB7">
        <w:rPr>
          <w:rFonts w:cstheme="minorHAnsi"/>
          <w:i/>
          <w:sz w:val="20"/>
          <w:szCs w:val="20"/>
        </w:rPr>
        <w:t xml:space="preserve"> </w:t>
      </w:r>
    </w:p>
    <w:p w14:paraId="5C9396F0" w14:textId="77777777" w:rsidR="008E5A7B" w:rsidRPr="003D2AB7" w:rsidRDefault="008E5A7B" w:rsidP="003E73C2">
      <w:pPr>
        <w:spacing w:before="120" w:after="120" w:line="240" w:lineRule="auto"/>
        <w:rPr>
          <w:rFonts w:cstheme="minorHAnsi"/>
          <w:i/>
          <w:sz w:val="20"/>
          <w:szCs w:val="20"/>
        </w:rPr>
      </w:pPr>
      <w:r w:rsidRPr="003D2AB7">
        <w:rPr>
          <w:rFonts w:cstheme="minorHAnsi"/>
          <w:sz w:val="20"/>
          <w:szCs w:val="20"/>
        </w:rPr>
        <w:t>Separate reports will be produced for the NSW Basin Pipe and Queensland Healthy HeadWaters Water Use Efficiency Project</w:t>
      </w:r>
      <w:r w:rsidR="00026456" w:rsidRPr="003D2AB7">
        <w:rPr>
          <w:rFonts w:cstheme="minorHAnsi"/>
          <w:sz w:val="20"/>
          <w:szCs w:val="20"/>
        </w:rPr>
        <w:t>s</w:t>
      </w:r>
      <w:r w:rsidRPr="003D2AB7">
        <w:rPr>
          <w:rFonts w:cstheme="minorHAnsi"/>
          <w:sz w:val="20"/>
          <w:szCs w:val="20"/>
        </w:rPr>
        <w:t>.</w:t>
      </w:r>
    </w:p>
    <w:p w14:paraId="251267FB" w14:textId="77777777" w:rsidR="006F49F1" w:rsidRPr="003D2AB7" w:rsidRDefault="006F49F1" w:rsidP="00F74EDA">
      <w:pPr>
        <w:pStyle w:val="Heading2"/>
        <w:keepNext/>
        <w:rPr>
          <w:rFonts w:asciiTheme="minorHAnsi" w:hAnsiTheme="minorHAnsi" w:cstheme="minorHAnsi"/>
        </w:rPr>
      </w:pPr>
      <w:bookmarkStart w:id="12" w:name="_Toc532474948"/>
      <w:r w:rsidRPr="003D2AB7">
        <w:rPr>
          <w:rFonts w:asciiTheme="minorHAnsi" w:hAnsiTheme="minorHAnsi" w:cstheme="minorHAnsi"/>
        </w:rPr>
        <w:t>Approach to this review</w:t>
      </w:r>
      <w:bookmarkEnd w:id="12"/>
    </w:p>
    <w:p w14:paraId="4E2BC626" w14:textId="77777777" w:rsidR="006F49F1" w:rsidRPr="003D2AB7" w:rsidRDefault="00432EE5" w:rsidP="00F74EDA">
      <w:pPr>
        <w:spacing w:before="120" w:after="120" w:line="240" w:lineRule="auto"/>
        <w:rPr>
          <w:rFonts w:cstheme="minorHAnsi"/>
          <w:sz w:val="20"/>
          <w:szCs w:val="20"/>
        </w:rPr>
      </w:pPr>
      <w:r w:rsidRPr="003D2AB7">
        <w:rPr>
          <w:rFonts w:cstheme="minorHAnsi"/>
          <w:sz w:val="20"/>
          <w:szCs w:val="20"/>
        </w:rPr>
        <w:t>KPMG assessed</w:t>
      </w:r>
      <w:r w:rsidR="00814A03" w:rsidRPr="003D2AB7">
        <w:rPr>
          <w:rFonts w:cstheme="minorHAnsi"/>
          <w:sz w:val="20"/>
          <w:szCs w:val="20"/>
        </w:rPr>
        <w:t xml:space="preserve"> the</w:t>
      </w:r>
      <w:r w:rsidRPr="003D2AB7">
        <w:rPr>
          <w:rFonts w:cstheme="minorHAnsi"/>
          <w:sz w:val="20"/>
          <w:szCs w:val="20"/>
        </w:rPr>
        <w:t xml:space="preserve"> systems, processes and controls </w:t>
      </w:r>
      <w:r w:rsidR="00E621EE" w:rsidRPr="003D2AB7">
        <w:rPr>
          <w:rFonts w:cstheme="minorHAnsi"/>
          <w:sz w:val="20"/>
          <w:szCs w:val="20"/>
        </w:rPr>
        <w:t xml:space="preserve">established </w:t>
      </w:r>
      <w:r w:rsidRPr="003D2AB7">
        <w:rPr>
          <w:rFonts w:cstheme="minorHAnsi"/>
          <w:sz w:val="20"/>
          <w:szCs w:val="20"/>
        </w:rPr>
        <w:t xml:space="preserve">for the governance and administration of the </w:t>
      </w:r>
      <w:r w:rsidR="00A67A0B" w:rsidRPr="003D2AB7">
        <w:rPr>
          <w:rFonts w:cstheme="minorHAnsi"/>
          <w:sz w:val="20"/>
          <w:szCs w:val="20"/>
        </w:rPr>
        <w:t>IFM</w:t>
      </w:r>
      <w:r w:rsidR="00A96B9F" w:rsidRPr="003D2AB7">
        <w:rPr>
          <w:rFonts w:cstheme="minorHAnsi"/>
          <w:sz w:val="20"/>
          <w:szCs w:val="20"/>
        </w:rPr>
        <w:t xml:space="preserve"> </w:t>
      </w:r>
      <w:r w:rsidRPr="003D2AB7">
        <w:rPr>
          <w:rFonts w:cstheme="minorHAnsi"/>
          <w:sz w:val="20"/>
          <w:szCs w:val="20"/>
        </w:rPr>
        <w:t>proje</w:t>
      </w:r>
      <w:r w:rsidR="00E621EE" w:rsidRPr="003D2AB7">
        <w:rPr>
          <w:rFonts w:cstheme="minorHAnsi"/>
          <w:sz w:val="20"/>
          <w:szCs w:val="20"/>
        </w:rPr>
        <w:t xml:space="preserve">ct against </w:t>
      </w:r>
      <w:r w:rsidR="000B2AF6" w:rsidRPr="003D2AB7">
        <w:rPr>
          <w:rFonts w:cstheme="minorHAnsi"/>
          <w:sz w:val="20"/>
          <w:szCs w:val="20"/>
        </w:rPr>
        <w:t xml:space="preserve">key program </w:t>
      </w:r>
      <w:r w:rsidR="00E621EE" w:rsidRPr="003D2AB7">
        <w:rPr>
          <w:rFonts w:cstheme="minorHAnsi"/>
          <w:sz w:val="20"/>
          <w:szCs w:val="20"/>
        </w:rPr>
        <w:t xml:space="preserve">management </w:t>
      </w:r>
      <w:r w:rsidR="000B2AF6" w:rsidRPr="003D2AB7">
        <w:rPr>
          <w:rFonts w:cstheme="minorHAnsi"/>
          <w:sz w:val="20"/>
          <w:szCs w:val="20"/>
        </w:rPr>
        <w:t xml:space="preserve">areas (as </w:t>
      </w:r>
      <w:r w:rsidR="00FF455B" w:rsidRPr="003D2AB7">
        <w:rPr>
          <w:rFonts w:cstheme="minorHAnsi"/>
          <w:sz w:val="20"/>
          <w:szCs w:val="20"/>
        </w:rPr>
        <w:t>outlined</w:t>
      </w:r>
      <w:r w:rsidR="000B2AF6" w:rsidRPr="003D2AB7">
        <w:rPr>
          <w:rFonts w:cstheme="minorHAnsi"/>
          <w:sz w:val="20"/>
          <w:szCs w:val="20"/>
        </w:rPr>
        <w:t xml:space="preserve"> in engagement scope) </w:t>
      </w:r>
      <w:r w:rsidR="00E621EE" w:rsidRPr="003D2AB7">
        <w:rPr>
          <w:rFonts w:cstheme="minorHAnsi"/>
          <w:sz w:val="20"/>
          <w:szCs w:val="20"/>
        </w:rPr>
        <w:t xml:space="preserve">and key requirements of the WMPA. </w:t>
      </w:r>
      <w:r w:rsidRPr="003D2AB7">
        <w:rPr>
          <w:rFonts w:cstheme="minorHAnsi"/>
          <w:sz w:val="20"/>
          <w:szCs w:val="20"/>
        </w:rPr>
        <w:t xml:space="preserve"> This included governance mechanisms, risk management</w:t>
      </w:r>
      <w:r w:rsidR="00AE428D" w:rsidRPr="003D2AB7">
        <w:rPr>
          <w:rFonts w:cstheme="minorHAnsi"/>
          <w:sz w:val="20"/>
          <w:szCs w:val="20"/>
        </w:rPr>
        <w:t xml:space="preserve"> activities</w:t>
      </w:r>
      <w:r w:rsidRPr="003D2AB7">
        <w:rPr>
          <w:rFonts w:cstheme="minorHAnsi"/>
          <w:sz w:val="20"/>
          <w:szCs w:val="20"/>
        </w:rPr>
        <w:t xml:space="preserve">, financial management processes and monitoring activities. </w:t>
      </w:r>
      <w:r w:rsidR="00E621EE" w:rsidRPr="003D2AB7">
        <w:rPr>
          <w:rFonts w:cstheme="minorHAnsi"/>
          <w:sz w:val="20"/>
          <w:szCs w:val="20"/>
        </w:rPr>
        <w:t xml:space="preserve">This was undertaken through a combination of stakeholder consultation, document </w:t>
      </w:r>
      <w:r w:rsidR="006C712C" w:rsidRPr="003D2AB7">
        <w:rPr>
          <w:rFonts w:cstheme="minorHAnsi"/>
          <w:sz w:val="20"/>
          <w:szCs w:val="20"/>
        </w:rPr>
        <w:t>review and on-ground inspection.</w:t>
      </w:r>
    </w:p>
    <w:p w14:paraId="005D81F7" w14:textId="77777777" w:rsidR="006F49F1" w:rsidRPr="003D2AB7" w:rsidRDefault="00432EE5" w:rsidP="00F74EDA">
      <w:pPr>
        <w:spacing w:before="120" w:after="120" w:line="240" w:lineRule="auto"/>
        <w:rPr>
          <w:rFonts w:cstheme="minorHAnsi"/>
          <w:sz w:val="20"/>
          <w:szCs w:val="20"/>
          <w:highlight w:val="lightGray"/>
        </w:rPr>
      </w:pPr>
      <w:r w:rsidRPr="003D2AB7">
        <w:rPr>
          <w:rFonts w:cstheme="minorHAnsi"/>
          <w:sz w:val="20"/>
          <w:szCs w:val="20"/>
        </w:rPr>
        <w:t>As p</w:t>
      </w:r>
      <w:r w:rsidR="00E621EE" w:rsidRPr="003D2AB7">
        <w:rPr>
          <w:rFonts w:cstheme="minorHAnsi"/>
          <w:sz w:val="20"/>
          <w:szCs w:val="20"/>
        </w:rPr>
        <w:t>art of the review,</w:t>
      </w:r>
      <w:r w:rsidRPr="003D2AB7">
        <w:rPr>
          <w:rFonts w:cstheme="minorHAnsi"/>
          <w:sz w:val="20"/>
          <w:szCs w:val="20"/>
        </w:rPr>
        <w:t xml:space="preserve"> </w:t>
      </w:r>
      <w:r w:rsidR="00643E0A" w:rsidRPr="003D2AB7">
        <w:rPr>
          <w:rFonts w:cstheme="minorHAnsi"/>
          <w:sz w:val="20"/>
          <w:szCs w:val="20"/>
        </w:rPr>
        <w:t xml:space="preserve">KPMG selected a sample of </w:t>
      </w:r>
      <w:r w:rsidR="00A67A0B" w:rsidRPr="003D2AB7">
        <w:rPr>
          <w:rFonts w:cstheme="minorHAnsi"/>
          <w:sz w:val="20"/>
          <w:szCs w:val="20"/>
        </w:rPr>
        <w:t>28</w:t>
      </w:r>
      <w:r w:rsidR="00811B0B" w:rsidRPr="003D2AB7">
        <w:rPr>
          <w:rFonts w:cstheme="minorHAnsi"/>
          <w:sz w:val="20"/>
          <w:szCs w:val="20"/>
        </w:rPr>
        <w:t xml:space="preserve"> approved</w:t>
      </w:r>
      <w:r w:rsidR="00A67A0B" w:rsidRPr="003D2AB7">
        <w:rPr>
          <w:rFonts w:cstheme="minorHAnsi"/>
          <w:sz w:val="20"/>
          <w:szCs w:val="20"/>
        </w:rPr>
        <w:t xml:space="preserve"> on-farm infrastructure projects</w:t>
      </w:r>
      <w:r w:rsidR="00811B0B" w:rsidRPr="003D2AB7">
        <w:rPr>
          <w:rFonts w:cstheme="minorHAnsi"/>
          <w:sz w:val="20"/>
          <w:szCs w:val="20"/>
        </w:rPr>
        <w:t xml:space="preserve"> (2</w:t>
      </w:r>
      <w:r w:rsidR="00A67A0B" w:rsidRPr="003D2AB7">
        <w:rPr>
          <w:rFonts w:cstheme="minorHAnsi"/>
          <w:sz w:val="20"/>
          <w:szCs w:val="20"/>
        </w:rPr>
        <w:t>5</w:t>
      </w:r>
      <w:r w:rsidR="00643E0A" w:rsidRPr="003D2AB7">
        <w:rPr>
          <w:rFonts w:cstheme="minorHAnsi"/>
          <w:sz w:val="20"/>
          <w:szCs w:val="20"/>
        </w:rPr>
        <w:t xml:space="preserve">% of all </w:t>
      </w:r>
      <w:r w:rsidR="00811B0B" w:rsidRPr="003D2AB7">
        <w:rPr>
          <w:rFonts w:cstheme="minorHAnsi"/>
          <w:sz w:val="20"/>
          <w:szCs w:val="20"/>
        </w:rPr>
        <w:t>schemes</w:t>
      </w:r>
      <w:r w:rsidR="00643E0A" w:rsidRPr="003D2AB7">
        <w:rPr>
          <w:rFonts w:cstheme="minorHAnsi"/>
          <w:sz w:val="20"/>
          <w:szCs w:val="20"/>
        </w:rPr>
        <w:t>) for desktop review</w:t>
      </w:r>
      <w:r w:rsidR="0069576D" w:rsidRPr="003D2AB7">
        <w:rPr>
          <w:rFonts w:cstheme="minorHAnsi"/>
          <w:sz w:val="20"/>
          <w:szCs w:val="20"/>
        </w:rPr>
        <w:t>,</w:t>
      </w:r>
      <w:r w:rsidR="00643E0A" w:rsidRPr="003D2AB7">
        <w:rPr>
          <w:rFonts w:cstheme="minorHAnsi"/>
          <w:sz w:val="20"/>
          <w:szCs w:val="20"/>
        </w:rPr>
        <w:t xml:space="preserve"> and of this</w:t>
      </w:r>
      <w:r w:rsidR="0069576D" w:rsidRPr="003D2AB7">
        <w:rPr>
          <w:rFonts w:cstheme="minorHAnsi"/>
          <w:sz w:val="20"/>
          <w:szCs w:val="20"/>
        </w:rPr>
        <w:t>,</w:t>
      </w:r>
      <w:r w:rsidR="00643E0A" w:rsidRPr="003D2AB7">
        <w:rPr>
          <w:rFonts w:cstheme="minorHAnsi"/>
          <w:sz w:val="20"/>
          <w:szCs w:val="20"/>
        </w:rPr>
        <w:t xml:space="preserve"> a sample of </w:t>
      </w:r>
      <w:r w:rsidR="00A67A0B" w:rsidRPr="003D2AB7">
        <w:rPr>
          <w:rFonts w:cstheme="minorHAnsi"/>
          <w:sz w:val="20"/>
          <w:szCs w:val="20"/>
        </w:rPr>
        <w:t>12</w:t>
      </w:r>
      <w:r w:rsidR="00643E0A" w:rsidRPr="003D2AB7">
        <w:rPr>
          <w:rFonts w:cstheme="minorHAnsi"/>
          <w:sz w:val="20"/>
          <w:szCs w:val="20"/>
        </w:rPr>
        <w:t xml:space="preserve"> projects were selected for on-farm </w:t>
      </w:r>
      <w:r w:rsidR="00AE428D" w:rsidRPr="003D2AB7">
        <w:rPr>
          <w:rFonts w:cstheme="minorHAnsi"/>
          <w:sz w:val="20"/>
          <w:szCs w:val="20"/>
        </w:rPr>
        <w:t>inspection</w:t>
      </w:r>
      <w:r w:rsidR="00643E0A" w:rsidRPr="003D2AB7">
        <w:rPr>
          <w:rFonts w:cstheme="minorHAnsi"/>
          <w:sz w:val="20"/>
          <w:szCs w:val="20"/>
        </w:rPr>
        <w:t>. The sample covered projects ranging in total cost from $1</w:t>
      </w:r>
      <w:r w:rsidR="00A67A0B" w:rsidRPr="003D2AB7">
        <w:rPr>
          <w:rFonts w:cstheme="minorHAnsi"/>
          <w:sz w:val="20"/>
          <w:szCs w:val="20"/>
        </w:rPr>
        <w:t>40</w:t>
      </w:r>
      <w:r w:rsidR="00643E0A" w:rsidRPr="003D2AB7">
        <w:rPr>
          <w:rFonts w:cstheme="minorHAnsi"/>
          <w:sz w:val="20"/>
          <w:szCs w:val="20"/>
        </w:rPr>
        <w:t>,000 to ove</w:t>
      </w:r>
      <w:r w:rsidR="00A67A0B" w:rsidRPr="003D2AB7">
        <w:rPr>
          <w:rFonts w:cstheme="minorHAnsi"/>
          <w:sz w:val="20"/>
          <w:szCs w:val="20"/>
        </w:rPr>
        <w:t>r $5 million, across the first 9</w:t>
      </w:r>
      <w:r w:rsidR="00643E0A" w:rsidRPr="003D2AB7">
        <w:rPr>
          <w:rFonts w:cstheme="minorHAnsi"/>
          <w:sz w:val="20"/>
          <w:szCs w:val="20"/>
        </w:rPr>
        <w:t xml:space="preserve"> funding rounds, different types of infrastructure works and across a variety of catchment areas</w:t>
      </w:r>
      <w:r w:rsidR="006F49F1" w:rsidRPr="003D2AB7">
        <w:rPr>
          <w:rFonts w:cstheme="minorHAnsi"/>
          <w:sz w:val="20"/>
          <w:szCs w:val="20"/>
        </w:rPr>
        <w:t>:</w:t>
      </w:r>
    </w:p>
    <w:p w14:paraId="1E4F9243" w14:textId="77777777" w:rsidR="00A67A0B" w:rsidRPr="003D2AB7" w:rsidRDefault="00A67A0B" w:rsidP="002E6119">
      <w:pPr>
        <w:pStyle w:val="ListParagraph"/>
        <w:numPr>
          <w:ilvl w:val="0"/>
          <w:numId w:val="9"/>
        </w:numPr>
        <w:spacing w:before="120" w:after="120" w:line="240" w:lineRule="auto"/>
        <w:rPr>
          <w:rFonts w:cstheme="minorHAnsi"/>
          <w:sz w:val="20"/>
          <w:szCs w:val="20"/>
        </w:rPr>
      </w:pPr>
      <w:r w:rsidRPr="003D2AB7">
        <w:rPr>
          <w:rFonts w:cstheme="minorHAnsi"/>
          <w:sz w:val="20"/>
          <w:szCs w:val="20"/>
        </w:rPr>
        <w:t>Barwon-Darling</w:t>
      </w:r>
      <w:r w:rsidR="00C801FF" w:rsidRPr="003D2AB7">
        <w:rPr>
          <w:rFonts w:cstheme="minorHAnsi"/>
          <w:sz w:val="20"/>
          <w:szCs w:val="20"/>
        </w:rPr>
        <w:t>;</w:t>
      </w:r>
    </w:p>
    <w:p w14:paraId="6DAACA4A" w14:textId="77777777" w:rsidR="00A67A0B" w:rsidRPr="003D2AB7" w:rsidRDefault="00A67A0B" w:rsidP="002E6119">
      <w:pPr>
        <w:pStyle w:val="ListParagraph"/>
        <w:numPr>
          <w:ilvl w:val="0"/>
          <w:numId w:val="9"/>
        </w:numPr>
        <w:spacing w:before="120" w:after="120" w:line="240" w:lineRule="auto"/>
        <w:rPr>
          <w:rFonts w:cstheme="minorHAnsi"/>
          <w:sz w:val="20"/>
          <w:szCs w:val="20"/>
        </w:rPr>
      </w:pPr>
      <w:r w:rsidRPr="003D2AB7">
        <w:rPr>
          <w:rFonts w:cstheme="minorHAnsi"/>
          <w:sz w:val="20"/>
          <w:szCs w:val="20"/>
        </w:rPr>
        <w:t>Border Rivers</w:t>
      </w:r>
      <w:r w:rsidR="00C801FF" w:rsidRPr="003D2AB7">
        <w:rPr>
          <w:rFonts w:cstheme="minorHAnsi"/>
          <w:sz w:val="20"/>
          <w:szCs w:val="20"/>
        </w:rPr>
        <w:t>;</w:t>
      </w:r>
    </w:p>
    <w:p w14:paraId="4C1F58B7" w14:textId="77777777" w:rsidR="00A67A0B" w:rsidRPr="003D2AB7" w:rsidRDefault="00A67A0B" w:rsidP="002E6119">
      <w:pPr>
        <w:pStyle w:val="ListParagraph"/>
        <w:numPr>
          <w:ilvl w:val="0"/>
          <w:numId w:val="9"/>
        </w:numPr>
        <w:spacing w:before="120" w:after="120" w:line="240" w:lineRule="auto"/>
        <w:rPr>
          <w:rFonts w:cstheme="minorHAnsi"/>
          <w:sz w:val="20"/>
          <w:szCs w:val="20"/>
        </w:rPr>
      </w:pPr>
      <w:r w:rsidRPr="003D2AB7">
        <w:rPr>
          <w:rFonts w:cstheme="minorHAnsi"/>
          <w:sz w:val="20"/>
          <w:szCs w:val="20"/>
        </w:rPr>
        <w:t>Lower Namoi</w:t>
      </w:r>
      <w:r w:rsidR="00C801FF" w:rsidRPr="003D2AB7">
        <w:rPr>
          <w:rFonts w:cstheme="minorHAnsi"/>
          <w:sz w:val="20"/>
          <w:szCs w:val="20"/>
        </w:rPr>
        <w:t>;</w:t>
      </w:r>
    </w:p>
    <w:p w14:paraId="699B4A9B" w14:textId="77777777" w:rsidR="00A67A0B" w:rsidRPr="003D2AB7" w:rsidRDefault="00A67A0B" w:rsidP="002E6119">
      <w:pPr>
        <w:pStyle w:val="ListParagraph"/>
        <w:numPr>
          <w:ilvl w:val="0"/>
          <w:numId w:val="9"/>
        </w:numPr>
        <w:spacing w:before="120" w:after="120" w:line="240" w:lineRule="auto"/>
        <w:rPr>
          <w:rFonts w:cstheme="minorHAnsi"/>
          <w:sz w:val="20"/>
          <w:szCs w:val="20"/>
        </w:rPr>
      </w:pPr>
      <w:r w:rsidRPr="003D2AB7">
        <w:rPr>
          <w:rFonts w:cstheme="minorHAnsi"/>
          <w:sz w:val="20"/>
          <w:szCs w:val="20"/>
        </w:rPr>
        <w:t>Macquarie</w:t>
      </w:r>
      <w:r w:rsidR="00C801FF" w:rsidRPr="003D2AB7">
        <w:rPr>
          <w:rFonts w:cstheme="minorHAnsi"/>
          <w:sz w:val="20"/>
          <w:szCs w:val="20"/>
        </w:rPr>
        <w:t>; and</w:t>
      </w:r>
    </w:p>
    <w:p w14:paraId="058A0C41" w14:textId="77777777" w:rsidR="006F49F1" w:rsidRPr="003D2AB7" w:rsidRDefault="00A67A0B" w:rsidP="002E6119">
      <w:pPr>
        <w:pStyle w:val="ListParagraph"/>
        <w:numPr>
          <w:ilvl w:val="0"/>
          <w:numId w:val="9"/>
        </w:numPr>
        <w:spacing w:before="120" w:after="120" w:line="240" w:lineRule="auto"/>
        <w:rPr>
          <w:rFonts w:cstheme="minorHAnsi"/>
          <w:sz w:val="20"/>
          <w:szCs w:val="20"/>
        </w:rPr>
      </w:pPr>
      <w:r w:rsidRPr="003D2AB7">
        <w:rPr>
          <w:rFonts w:cstheme="minorHAnsi"/>
          <w:sz w:val="20"/>
          <w:szCs w:val="20"/>
        </w:rPr>
        <w:t>Peel</w:t>
      </w:r>
      <w:r w:rsidR="00C801FF" w:rsidRPr="003D2AB7">
        <w:rPr>
          <w:rFonts w:cstheme="minorHAnsi"/>
          <w:sz w:val="20"/>
          <w:szCs w:val="20"/>
        </w:rPr>
        <w:t>.</w:t>
      </w:r>
    </w:p>
    <w:p w14:paraId="1C04DB54" w14:textId="77777777" w:rsidR="0069576D" w:rsidRPr="003D2AB7" w:rsidRDefault="0069576D" w:rsidP="00390576">
      <w:pPr>
        <w:spacing w:before="120" w:after="120" w:line="240" w:lineRule="auto"/>
        <w:ind w:right="68"/>
        <w:rPr>
          <w:rFonts w:cstheme="minorHAnsi"/>
          <w:sz w:val="20"/>
          <w:szCs w:val="20"/>
        </w:rPr>
      </w:pPr>
      <w:r w:rsidRPr="003D2AB7">
        <w:rPr>
          <w:rFonts w:cstheme="minorHAnsi"/>
          <w:sz w:val="20"/>
          <w:szCs w:val="20"/>
        </w:rPr>
        <w:t xml:space="preserve">On-farm verification undertaken as part of this review </w:t>
      </w:r>
      <w:r w:rsidR="00E621EE" w:rsidRPr="003D2AB7">
        <w:rPr>
          <w:rFonts w:cstheme="minorHAnsi"/>
          <w:sz w:val="20"/>
          <w:szCs w:val="20"/>
        </w:rPr>
        <w:t>did not include a detailed technical assessment of the quality and effectiveness of water infrastructure works</w:t>
      </w:r>
      <w:r w:rsidR="000D74D9" w:rsidRPr="003D2AB7">
        <w:rPr>
          <w:rFonts w:cstheme="minorHAnsi"/>
          <w:sz w:val="20"/>
          <w:szCs w:val="20"/>
        </w:rPr>
        <w:t xml:space="preserve"> or realisation of projected water savings.</w:t>
      </w:r>
      <w:r w:rsidR="00E621EE" w:rsidRPr="003D2AB7">
        <w:rPr>
          <w:rFonts w:cstheme="minorHAnsi"/>
          <w:sz w:val="20"/>
          <w:szCs w:val="20"/>
        </w:rPr>
        <w:t xml:space="preserve"> </w:t>
      </w:r>
      <w:r w:rsidR="000D74D9" w:rsidRPr="003D2AB7">
        <w:rPr>
          <w:rFonts w:cstheme="minorHAnsi"/>
          <w:sz w:val="20"/>
          <w:szCs w:val="20"/>
        </w:rPr>
        <w:t>Rather</w:t>
      </w:r>
      <w:r w:rsidR="00FA30B4" w:rsidRPr="003D2AB7">
        <w:rPr>
          <w:rFonts w:cstheme="minorHAnsi"/>
          <w:sz w:val="20"/>
          <w:szCs w:val="20"/>
        </w:rPr>
        <w:t>,</w:t>
      </w:r>
      <w:r w:rsidR="000D74D9" w:rsidRPr="003D2AB7">
        <w:rPr>
          <w:rFonts w:cstheme="minorHAnsi"/>
          <w:sz w:val="20"/>
          <w:szCs w:val="20"/>
        </w:rPr>
        <w:t xml:space="preserve"> i</w:t>
      </w:r>
      <w:r w:rsidR="00E621EE" w:rsidRPr="003D2AB7">
        <w:rPr>
          <w:rFonts w:cstheme="minorHAnsi"/>
          <w:sz w:val="20"/>
          <w:szCs w:val="20"/>
        </w:rPr>
        <w:t xml:space="preserve">t provides an assessment of </w:t>
      </w:r>
      <w:r w:rsidR="000D74D9" w:rsidRPr="003D2AB7">
        <w:rPr>
          <w:rFonts w:cstheme="minorHAnsi"/>
          <w:sz w:val="20"/>
          <w:szCs w:val="20"/>
        </w:rPr>
        <w:t xml:space="preserve">the </w:t>
      </w:r>
      <w:r w:rsidR="00E621EE" w:rsidRPr="003D2AB7">
        <w:rPr>
          <w:rFonts w:cstheme="minorHAnsi"/>
          <w:sz w:val="20"/>
          <w:szCs w:val="20"/>
        </w:rPr>
        <w:t>progress of works against reported outcomes and</w:t>
      </w:r>
      <w:r w:rsidR="005B2E4E" w:rsidRPr="003D2AB7">
        <w:rPr>
          <w:rFonts w:cstheme="minorHAnsi"/>
          <w:sz w:val="20"/>
          <w:szCs w:val="20"/>
        </w:rPr>
        <w:t xml:space="preserve"> non-technical</w:t>
      </w:r>
      <w:r w:rsidR="00E621EE" w:rsidRPr="003D2AB7">
        <w:rPr>
          <w:rFonts w:cstheme="minorHAnsi"/>
          <w:sz w:val="20"/>
          <w:szCs w:val="20"/>
        </w:rPr>
        <w:t xml:space="preserve"> verification of the engineer's reports against on-</w:t>
      </w:r>
      <w:r w:rsidR="00643E0A" w:rsidRPr="003D2AB7">
        <w:rPr>
          <w:rFonts w:cstheme="minorHAnsi"/>
          <w:sz w:val="20"/>
          <w:szCs w:val="20"/>
        </w:rPr>
        <w:t>farm</w:t>
      </w:r>
      <w:r w:rsidR="00E621EE" w:rsidRPr="003D2AB7">
        <w:rPr>
          <w:rFonts w:cstheme="minorHAnsi"/>
          <w:sz w:val="20"/>
          <w:szCs w:val="20"/>
        </w:rPr>
        <w:t xml:space="preserve"> works. </w:t>
      </w:r>
    </w:p>
    <w:p w14:paraId="015EE476" w14:textId="77777777" w:rsidR="006F49F1" w:rsidRPr="003D2AB7" w:rsidRDefault="002E7B93" w:rsidP="00390576">
      <w:pPr>
        <w:spacing w:before="120" w:after="120" w:line="240" w:lineRule="auto"/>
        <w:ind w:right="68"/>
        <w:rPr>
          <w:rFonts w:cstheme="minorHAnsi"/>
          <w:sz w:val="20"/>
          <w:szCs w:val="20"/>
        </w:rPr>
      </w:pPr>
      <w:r w:rsidRPr="003D2AB7">
        <w:rPr>
          <w:rFonts w:cstheme="minorHAnsi"/>
          <w:sz w:val="20"/>
          <w:szCs w:val="20"/>
        </w:rPr>
        <w:t>The findings of the report are based on the sample of projects reviewed. Accordingly</w:t>
      </w:r>
      <w:r w:rsidR="000D74D9" w:rsidRPr="003D2AB7">
        <w:rPr>
          <w:rFonts w:cstheme="minorHAnsi"/>
          <w:sz w:val="20"/>
          <w:szCs w:val="20"/>
        </w:rPr>
        <w:t>,</w:t>
      </w:r>
      <w:r w:rsidRPr="003D2AB7">
        <w:rPr>
          <w:rFonts w:cstheme="minorHAnsi"/>
          <w:sz w:val="20"/>
          <w:szCs w:val="20"/>
        </w:rPr>
        <w:t xml:space="preserve"> it is possible there may be instances of </w:t>
      </w:r>
      <w:r w:rsidRPr="003D2AB7">
        <w:rPr>
          <w:rFonts w:cstheme="minorHAnsi"/>
          <w:sz w:val="20"/>
        </w:rPr>
        <w:t>fraud, error or non-compliance with laws and regulations within the project that have not be</w:t>
      </w:r>
      <w:r w:rsidR="005B2E4E" w:rsidRPr="003D2AB7">
        <w:rPr>
          <w:rFonts w:cstheme="minorHAnsi"/>
          <w:sz w:val="20"/>
        </w:rPr>
        <w:t>en</w:t>
      </w:r>
      <w:r w:rsidRPr="003D2AB7">
        <w:rPr>
          <w:rFonts w:cstheme="minorHAnsi"/>
          <w:sz w:val="20"/>
        </w:rPr>
        <w:t xml:space="preserve"> identified </w:t>
      </w:r>
      <w:r w:rsidR="000D74D9" w:rsidRPr="003D2AB7">
        <w:rPr>
          <w:rFonts w:cstheme="minorHAnsi"/>
          <w:sz w:val="20"/>
        </w:rPr>
        <w:t xml:space="preserve">during </w:t>
      </w:r>
      <w:r w:rsidRPr="003D2AB7">
        <w:rPr>
          <w:rFonts w:cstheme="minorHAnsi"/>
          <w:sz w:val="20"/>
        </w:rPr>
        <w:t xml:space="preserve">this </w:t>
      </w:r>
      <w:r w:rsidR="0069576D" w:rsidRPr="003D2AB7">
        <w:rPr>
          <w:rFonts w:cstheme="minorHAnsi"/>
          <w:sz w:val="20"/>
        </w:rPr>
        <w:t>r</w:t>
      </w:r>
      <w:r w:rsidRPr="003D2AB7">
        <w:rPr>
          <w:rFonts w:cstheme="minorHAnsi"/>
          <w:sz w:val="20"/>
        </w:rPr>
        <w:t>eview.</w:t>
      </w:r>
      <w:r w:rsidRPr="003D2AB7">
        <w:rPr>
          <w:rFonts w:cstheme="minorHAnsi"/>
          <w:sz w:val="20"/>
          <w:szCs w:val="20"/>
        </w:rPr>
        <w:t xml:space="preserve"> </w:t>
      </w:r>
      <w:r w:rsidR="00432EE5" w:rsidRPr="003D2AB7">
        <w:rPr>
          <w:rFonts w:cstheme="minorHAnsi"/>
          <w:sz w:val="20"/>
          <w:szCs w:val="20"/>
        </w:rPr>
        <w:t>R</w:t>
      </w:r>
      <w:r w:rsidR="006F49F1" w:rsidRPr="003D2AB7">
        <w:rPr>
          <w:rFonts w:cstheme="minorHAnsi"/>
          <w:sz w:val="20"/>
          <w:szCs w:val="20"/>
        </w:rPr>
        <w:t xml:space="preserve">efer to </w:t>
      </w:r>
      <w:r w:rsidR="006F49F1" w:rsidRPr="003D2AB7">
        <w:rPr>
          <w:rFonts w:cstheme="minorHAnsi"/>
          <w:b/>
          <w:sz w:val="20"/>
          <w:szCs w:val="20"/>
        </w:rPr>
        <w:t>Appendix B</w:t>
      </w:r>
      <w:r w:rsidR="006F49F1" w:rsidRPr="003D2AB7">
        <w:rPr>
          <w:rFonts w:cstheme="minorHAnsi"/>
          <w:sz w:val="20"/>
          <w:szCs w:val="20"/>
        </w:rPr>
        <w:t xml:space="preserve"> for further informat</w:t>
      </w:r>
      <w:r w:rsidR="00432EE5" w:rsidRPr="003D2AB7">
        <w:rPr>
          <w:rFonts w:cstheme="minorHAnsi"/>
          <w:sz w:val="20"/>
          <w:szCs w:val="20"/>
        </w:rPr>
        <w:t>ion on the engagement approach.</w:t>
      </w:r>
    </w:p>
    <w:p w14:paraId="306F2629" w14:textId="77777777" w:rsidR="00D14ECC" w:rsidRPr="003D2AB7" w:rsidRDefault="00D14ECC" w:rsidP="00D14ECC">
      <w:pPr>
        <w:pStyle w:val="Heading2"/>
        <w:keepNext/>
        <w:rPr>
          <w:rFonts w:asciiTheme="minorHAnsi" w:hAnsiTheme="minorHAnsi" w:cstheme="minorHAnsi"/>
        </w:rPr>
      </w:pPr>
      <w:bookmarkStart w:id="13" w:name="_Toc532474949"/>
      <w:r w:rsidRPr="003D2AB7">
        <w:rPr>
          <w:rFonts w:asciiTheme="minorHAnsi" w:hAnsiTheme="minorHAnsi" w:cstheme="minorHAnsi"/>
        </w:rPr>
        <w:t>Summary of assessment</w:t>
      </w:r>
      <w:bookmarkEnd w:id="13"/>
      <w:r w:rsidRPr="003D2AB7">
        <w:rPr>
          <w:rFonts w:asciiTheme="minorHAnsi" w:hAnsiTheme="minorHAnsi" w:cstheme="minorHAnsi"/>
        </w:rPr>
        <w:t xml:space="preserve"> </w:t>
      </w:r>
    </w:p>
    <w:p w14:paraId="3317BB94" w14:textId="77777777" w:rsidR="00144C4F" w:rsidRPr="003D2AB7" w:rsidRDefault="00144C4F" w:rsidP="00144C4F">
      <w:pPr>
        <w:spacing w:before="120" w:after="120" w:line="240" w:lineRule="auto"/>
        <w:ind w:right="68"/>
        <w:rPr>
          <w:rFonts w:cstheme="minorHAnsi"/>
          <w:sz w:val="20"/>
          <w:szCs w:val="20"/>
        </w:rPr>
      </w:pPr>
      <w:r w:rsidRPr="003D2AB7">
        <w:rPr>
          <w:rFonts w:cstheme="minorHAnsi"/>
          <w:sz w:val="20"/>
          <w:szCs w:val="20"/>
        </w:rPr>
        <w:t xml:space="preserve">Overall, KPMG’s assessment of the </w:t>
      </w:r>
      <w:r w:rsidR="00AF554B" w:rsidRPr="003D2AB7">
        <w:rPr>
          <w:rFonts w:cstheme="minorHAnsi"/>
          <w:sz w:val="20"/>
          <w:szCs w:val="20"/>
        </w:rPr>
        <w:t>IFM</w:t>
      </w:r>
      <w:r w:rsidR="00A96B9F" w:rsidRPr="003D2AB7">
        <w:rPr>
          <w:rFonts w:cstheme="minorHAnsi"/>
          <w:sz w:val="20"/>
          <w:szCs w:val="20"/>
        </w:rPr>
        <w:t xml:space="preserve"> </w:t>
      </w:r>
      <w:r w:rsidRPr="003D2AB7">
        <w:rPr>
          <w:rFonts w:cstheme="minorHAnsi"/>
          <w:sz w:val="20"/>
          <w:szCs w:val="20"/>
        </w:rPr>
        <w:t>project found:</w:t>
      </w:r>
    </w:p>
    <w:p w14:paraId="3083E316" w14:textId="77777777" w:rsidR="00AE5DF1" w:rsidRPr="003D2AB7" w:rsidRDefault="00AE5DF1" w:rsidP="00251635">
      <w:pPr>
        <w:pStyle w:val="ListParagraph"/>
        <w:numPr>
          <w:ilvl w:val="0"/>
          <w:numId w:val="10"/>
        </w:numPr>
        <w:spacing w:before="120" w:after="120" w:line="240" w:lineRule="auto"/>
        <w:ind w:right="68"/>
        <w:rPr>
          <w:rFonts w:cstheme="minorHAnsi"/>
          <w:sz w:val="20"/>
          <w:szCs w:val="20"/>
        </w:rPr>
      </w:pPr>
      <w:r w:rsidRPr="003D2AB7">
        <w:rPr>
          <w:rFonts w:cstheme="minorHAnsi"/>
          <w:sz w:val="20"/>
          <w:szCs w:val="20"/>
        </w:rPr>
        <w:t>Based on sample testing and review of project documentation</w:t>
      </w:r>
      <w:r w:rsidR="00FA30B4" w:rsidRPr="003D2AB7">
        <w:rPr>
          <w:rFonts w:cstheme="minorHAnsi"/>
          <w:sz w:val="20"/>
          <w:szCs w:val="20"/>
        </w:rPr>
        <w:t>,</w:t>
      </w:r>
      <w:r w:rsidRPr="003D2AB7">
        <w:rPr>
          <w:rFonts w:cstheme="minorHAnsi"/>
          <w:sz w:val="20"/>
          <w:szCs w:val="20"/>
        </w:rPr>
        <w:t xml:space="preserve"> DPI appear to have designed and implemented appropriate controls, processes and structures to assist in the effective administration of the IFM project and use of Commonwealth Funds;</w:t>
      </w:r>
    </w:p>
    <w:p w14:paraId="4EAB9BAB" w14:textId="77777777" w:rsidR="00144C4F" w:rsidRPr="003D2AB7" w:rsidRDefault="00144C4F" w:rsidP="00251635">
      <w:pPr>
        <w:pStyle w:val="ListParagraph"/>
        <w:numPr>
          <w:ilvl w:val="0"/>
          <w:numId w:val="10"/>
        </w:numPr>
        <w:spacing w:before="120" w:after="120" w:line="240" w:lineRule="auto"/>
        <w:ind w:right="68"/>
        <w:rPr>
          <w:rFonts w:cstheme="minorHAnsi"/>
          <w:sz w:val="20"/>
          <w:szCs w:val="20"/>
        </w:rPr>
      </w:pPr>
      <w:r w:rsidRPr="003D2AB7">
        <w:rPr>
          <w:rFonts w:cstheme="minorHAnsi"/>
          <w:sz w:val="20"/>
          <w:szCs w:val="20"/>
        </w:rPr>
        <w:t>No instances of non-compliance with key provisions of the WMPA;</w:t>
      </w:r>
      <w:r w:rsidR="00AE5DF1" w:rsidRPr="003D2AB7">
        <w:rPr>
          <w:rFonts w:cstheme="minorHAnsi"/>
          <w:sz w:val="20"/>
          <w:szCs w:val="20"/>
        </w:rPr>
        <w:t xml:space="preserve"> and</w:t>
      </w:r>
    </w:p>
    <w:p w14:paraId="287FDB0F" w14:textId="77777777" w:rsidR="00144C4F" w:rsidRPr="003D2AB7" w:rsidRDefault="00144C4F" w:rsidP="00AE5DF1">
      <w:pPr>
        <w:pStyle w:val="ListParagraph"/>
        <w:numPr>
          <w:ilvl w:val="0"/>
          <w:numId w:val="10"/>
        </w:numPr>
        <w:spacing w:before="120" w:after="120" w:line="240" w:lineRule="auto"/>
        <w:ind w:right="68"/>
        <w:rPr>
          <w:rFonts w:cstheme="minorHAnsi"/>
          <w:sz w:val="20"/>
          <w:szCs w:val="20"/>
        </w:rPr>
      </w:pPr>
      <w:r w:rsidRPr="003D2AB7">
        <w:rPr>
          <w:rFonts w:cstheme="minorHAnsi"/>
          <w:sz w:val="20"/>
          <w:szCs w:val="20"/>
        </w:rPr>
        <w:t xml:space="preserve">All proponent projects visually inspected appeared to correspond with </w:t>
      </w:r>
      <w:r w:rsidR="00FA30B4" w:rsidRPr="003D2AB7">
        <w:rPr>
          <w:rFonts w:cstheme="minorHAnsi"/>
          <w:sz w:val="20"/>
          <w:szCs w:val="20"/>
        </w:rPr>
        <w:t xml:space="preserve">the </w:t>
      </w:r>
      <w:r w:rsidRPr="003D2AB7">
        <w:rPr>
          <w:rFonts w:cstheme="minorHAnsi"/>
          <w:sz w:val="20"/>
          <w:szCs w:val="20"/>
        </w:rPr>
        <w:t xml:space="preserve">scope and progress reported and </w:t>
      </w:r>
      <w:r w:rsidR="00CD7145" w:rsidRPr="003D2AB7">
        <w:rPr>
          <w:rFonts w:cstheme="minorHAnsi"/>
          <w:sz w:val="20"/>
          <w:szCs w:val="20"/>
        </w:rPr>
        <w:t>maintained</w:t>
      </w:r>
      <w:r w:rsidRPr="003D2AB7">
        <w:rPr>
          <w:rFonts w:cstheme="minorHAnsi"/>
          <w:sz w:val="20"/>
          <w:szCs w:val="20"/>
        </w:rPr>
        <w:t xml:space="preserve"> by </w:t>
      </w:r>
      <w:r w:rsidR="00634F69" w:rsidRPr="003D2AB7">
        <w:rPr>
          <w:rFonts w:cstheme="minorHAnsi"/>
          <w:sz w:val="20"/>
          <w:szCs w:val="20"/>
        </w:rPr>
        <w:t>DPI</w:t>
      </w:r>
      <w:r w:rsidR="00AE5DF1" w:rsidRPr="003D2AB7">
        <w:rPr>
          <w:rFonts w:cstheme="minorHAnsi"/>
          <w:sz w:val="20"/>
          <w:szCs w:val="20"/>
        </w:rPr>
        <w:t>.</w:t>
      </w:r>
    </w:p>
    <w:p w14:paraId="4C0387D8" w14:textId="5DCB1BBA" w:rsidR="00AF554B" w:rsidRPr="003D2AB7" w:rsidRDefault="00AF554B" w:rsidP="00F74EDA">
      <w:pPr>
        <w:spacing w:before="120" w:after="120" w:line="240" w:lineRule="auto"/>
        <w:rPr>
          <w:rFonts w:cstheme="minorHAnsi"/>
          <w:sz w:val="20"/>
          <w:szCs w:val="20"/>
        </w:rPr>
      </w:pPr>
      <w:r w:rsidRPr="003D2AB7">
        <w:rPr>
          <w:rFonts w:cstheme="minorHAnsi"/>
          <w:sz w:val="20"/>
          <w:szCs w:val="20"/>
        </w:rPr>
        <w:t>From the commencement of IFM, DPI appears to have managed the project in a manner to allow for regular evaluation</w:t>
      </w:r>
      <w:r w:rsidR="00FA30B4" w:rsidRPr="003D2AB7">
        <w:rPr>
          <w:rFonts w:cstheme="minorHAnsi"/>
          <w:sz w:val="20"/>
          <w:szCs w:val="20"/>
        </w:rPr>
        <w:t>,</w:t>
      </w:r>
      <w:r w:rsidRPr="003D2AB7">
        <w:rPr>
          <w:rFonts w:cstheme="minorHAnsi"/>
          <w:sz w:val="20"/>
          <w:szCs w:val="20"/>
        </w:rPr>
        <w:t xml:space="preserve"> and </w:t>
      </w:r>
      <w:r w:rsidR="00FA30B4" w:rsidRPr="003D2AB7">
        <w:rPr>
          <w:rFonts w:cstheme="minorHAnsi"/>
          <w:sz w:val="20"/>
          <w:szCs w:val="20"/>
        </w:rPr>
        <w:t>have maintained</w:t>
      </w:r>
      <w:r w:rsidRPr="003D2AB7">
        <w:rPr>
          <w:rFonts w:cstheme="minorHAnsi"/>
          <w:sz w:val="20"/>
          <w:szCs w:val="20"/>
        </w:rPr>
        <w:t xml:space="preserve"> a focus on continually improving and updating both the administration and delivery of the IFM project</w:t>
      </w:r>
      <w:r w:rsidR="00282EBC" w:rsidRPr="003D2AB7">
        <w:rPr>
          <w:rFonts w:cstheme="minorHAnsi"/>
          <w:sz w:val="20"/>
          <w:szCs w:val="20"/>
        </w:rPr>
        <w:t xml:space="preserve"> through the establishment of the Monitoring Evaluation Reporting and Improvement (MERI) strategy</w:t>
      </w:r>
      <w:r w:rsidRPr="003D2AB7">
        <w:rPr>
          <w:rFonts w:cstheme="minorHAnsi"/>
          <w:sz w:val="20"/>
          <w:szCs w:val="20"/>
        </w:rPr>
        <w:t xml:space="preserve">. The supporting documentation reviewed and </w:t>
      </w:r>
      <w:r w:rsidR="00FA30B4" w:rsidRPr="003D2AB7">
        <w:rPr>
          <w:rFonts w:cstheme="minorHAnsi"/>
          <w:sz w:val="20"/>
          <w:szCs w:val="20"/>
        </w:rPr>
        <w:t xml:space="preserve">the </w:t>
      </w:r>
      <w:r w:rsidRPr="003D2AB7">
        <w:rPr>
          <w:rFonts w:cstheme="minorHAnsi"/>
          <w:sz w:val="20"/>
          <w:szCs w:val="20"/>
        </w:rPr>
        <w:t>processes identified throughout this review demonstrate</w:t>
      </w:r>
      <w:r w:rsidR="008B1246" w:rsidRPr="003D2AB7">
        <w:rPr>
          <w:rFonts w:cstheme="minorHAnsi"/>
          <w:sz w:val="20"/>
          <w:szCs w:val="20"/>
        </w:rPr>
        <w:t>d</w:t>
      </w:r>
      <w:r w:rsidRPr="003D2AB7">
        <w:rPr>
          <w:rFonts w:cstheme="minorHAnsi"/>
          <w:sz w:val="20"/>
          <w:szCs w:val="20"/>
        </w:rPr>
        <w:t xml:space="preserve"> DPI’s awareness of the importance of transparent a</w:t>
      </w:r>
      <w:r w:rsidR="00FF4484" w:rsidRPr="003D2AB7">
        <w:rPr>
          <w:rFonts w:cstheme="minorHAnsi"/>
          <w:sz w:val="20"/>
          <w:szCs w:val="20"/>
        </w:rPr>
        <w:t xml:space="preserve">nd defensible decision making. </w:t>
      </w:r>
    </w:p>
    <w:p w14:paraId="3E7F488E" w14:textId="77777777" w:rsidR="00144C4F" w:rsidRPr="003D2AB7" w:rsidRDefault="00AF554B" w:rsidP="003E73C2">
      <w:pPr>
        <w:spacing w:before="120" w:after="120" w:line="240" w:lineRule="auto"/>
        <w:rPr>
          <w:rFonts w:cstheme="minorHAnsi"/>
          <w:sz w:val="20"/>
          <w:szCs w:val="20"/>
        </w:rPr>
      </w:pPr>
      <w:r w:rsidRPr="003D2AB7">
        <w:rPr>
          <w:rFonts w:cstheme="minorHAnsi"/>
          <w:sz w:val="20"/>
          <w:szCs w:val="20"/>
        </w:rPr>
        <w:t>DPI</w:t>
      </w:r>
      <w:r w:rsidR="00144C4F" w:rsidRPr="003D2AB7">
        <w:rPr>
          <w:rFonts w:cstheme="minorHAnsi"/>
          <w:sz w:val="20"/>
          <w:szCs w:val="20"/>
        </w:rPr>
        <w:t xml:space="preserve"> </w:t>
      </w:r>
      <w:r w:rsidR="00211F59" w:rsidRPr="003D2AB7">
        <w:rPr>
          <w:rFonts w:cstheme="minorHAnsi"/>
          <w:sz w:val="20"/>
          <w:szCs w:val="20"/>
        </w:rPr>
        <w:t xml:space="preserve">appear </w:t>
      </w:r>
      <w:r w:rsidRPr="003D2AB7">
        <w:rPr>
          <w:rFonts w:cstheme="minorHAnsi"/>
          <w:sz w:val="20"/>
          <w:szCs w:val="20"/>
        </w:rPr>
        <w:t xml:space="preserve">to have </w:t>
      </w:r>
      <w:r w:rsidR="00144C4F" w:rsidRPr="003D2AB7">
        <w:rPr>
          <w:rFonts w:cstheme="minorHAnsi"/>
          <w:sz w:val="20"/>
          <w:szCs w:val="20"/>
        </w:rPr>
        <w:t xml:space="preserve">established appropriate control structures to effectively manage the use of Commonwealth funds in the administration of the </w:t>
      </w:r>
      <w:r w:rsidRPr="003D2AB7">
        <w:rPr>
          <w:rFonts w:cstheme="minorHAnsi"/>
          <w:sz w:val="20"/>
          <w:szCs w:val="20"/>
        </w:rPr>
        <w:t>IFM</w:t>
      </w:r>
      <w:r w:rsidR="00A96B9F" w:rsidRPr="003D2AB7">
        <w:rPr>
          <w:rFonts w:cstheme="minorHAnsi"/>
          <w:sz w:val="20"/>
          <w:szCs w:val="20"/>
        </w:rPr>
        <w:t xml:space="preserve"> </w:t>
      </w:r>
      <w:r w:rsidR="00144C4F" w:rsidRPr="003D2AB7">
        <w:rPr>
          <w:rFonts w:cstheme="minorHAnsi"/>
          <w:sz w:val="20"/>
          <w:szCs w:val="20"/>
        </w:rPr>
        <w:t xml:space="preserve">project. </w:t>
      </w:r>
      <w:r w:rsidR="00144C4F" w:rsidRPr="003D2AB7">
        <w:rPr>
          <w:rFonts w:cstheme="minorHAnsi"/>
          <w:i/>
          <w:sz w:val="20"/>
          <w:szCs w:val="20"/>
        </w:rPr>
        <w:t xml:space="preserve"> </w:t>
      </w:r>
      <w:r w:rsidR="00144C4F" w:rsidRPr="003D2AB7">
        <w:rPr>
          <w:rFonts w:cstheme="minorHAnsi"/>
          <w:sz w:val="20"/>
          <w:szCs w:val="20"/>
        </w:rPr>
        <w:t>Notwithstanding</w:t>
      </w:r>
      <w:r w:rsidR="0082024B" w:rsidRPr="003D2AB7">
        <w:rPr>
          <w:rFonts w:cstheme="minorHAnsi"/>
          <w:sz w:val="20"/>
          <w:szCs w:val="20"/>
        </w:rPr>
        <w:t xml:space="preserve"> this</w:t>
      </w:r>
      <w:r w:rsidR="00144C4F" w:rsidRPr="003D2AB7">
        <w:rPr>
          <w:rFonts w:cstheme="minorHAnsi"/>
          <w:sz w:val="20"/>
          <w:szCs w:val="20"/>
        </w:rPr>
        <w:t xml:space="preserve">, </w:t>
      </w:r>
      <w:r w:rsidR="008E5A7B" w:rsidRPr="003D2AB7">
        <w:rPr>
          <w:rFonts w:cstheme="minorHAnsi"/>
          <w:sz w:val="20"/>
          <w:szCs w:val="20"/>
        </w:rPr>
        <w:t xml:space="preserve">opportunities for improvement have been suggested, </w:t>
      </w:r>
      <w:r w:rsidR="00477BF3" w:rsidRPr="003D2AB7">
        <w:rPr>
          <w:rFonts w:cstheme="minorHAnsi"/>
          <w:sz w:val="20"/>
          <w:szCs w:val="20"/>
        </w:rPr>
        <w:t xml:space="preserve">however, </w:t>
      </w:r>
      <w:r w:rsidR="008E5A7B" w:rsidRPr="003D2AB7">
        <w:rPr>
          <w:rFonts w:cstheme="minorHAnsi"/>
          <w:sz w:val="20"/>
          <w:szCs w:val="20"/>
        </w:rPr>
        <w:t>these are</w:t>
      </w:r>
      <w:r w:rsidR="00144C4F" w:rsidRPr="003D2AB7">
        <w:rPr>
          <w:rFonts w:cstheme="minorHAnsi"/>
          <w:sz w:val="20"/>
          <w:szCs w:val="20"/>
        </w:rPr>
        <w:t xml:space="preserve"> not considered systemic control weaknesses. Further detail on these is included in </w:t>
      </w:r>
      <w:r w:rsidR="00144C4F" w:rsidRPr="003D2AB7">
        <w:rPr>
          <w:rFonts w:cstheme="minorHAnsi"/>
          <w:b/>
          <w:sz w:val="20"/>
          <w:szCs w:val="20"/>
        </w:rPr>
        <w:t>Section 4</w:t>
      </w:r>
      <w:r w:rsidR="00474DAB" w:rsidRPr="003D2AB7">
        <w:rPr>
          <w:rFonts w:cstheme="minorHAnsi"/>
          <w:sz w:val="20"/>
          <w:szCs w:val="20"/>
        </w:rPr>
        <w:t xml:space="preserve"> of this report</w:t>
      </w:r>
      <w:r w:rsidR="00144C4F" w:rsidRPr="003D2AB7">
        <w:rPr>
          <w:rFonts w:cstheme="minorHAnsi"/>
          <w:sz w:val="20"/>
          <w:szCs w:val="20"/>
        </w:rPr>
        <w:t>.</w:t>
      </w:r>
    </w:p>
    <w:p w14:paraId="340F3652" w14:textId="77777777" w:rsidR="00D14ECC" w:rsidRPr="003D2AB7" w:rsidRDefault="00144C4F" w:rsidP="0069576D">
      <w:pPr>
        <w:spacing w:before="120" w:after="120" w:line="240" w:lineRule="auto"/>
        <w:ind w:right="68"/>
        <w:rPr>
          <w:rFonts w:cstheme="minorHAnsi"/>
          <w:sz w:val="20"/>
          <w:szCs w:val="20"/>
        </w:rPr>
      </w:pPr>
      <w:r w:rsidRPr="003D2AB7">
        <w:rPr>
          <w:rFonts w:cstheme="minorHAnsi"/>
          <w:sz w:val="20"/>
          <w:szCs w:val="20"/>
        </w:rPr>
        <w:t>This</w:t>
      </w:r>
      <w:r w:rsidR="00D14ECC" w:rsidRPr="003D2AB7">
        <w:rPr>
          <w:rFonts w:cstheme="minorHAnsi"/>
          <w:sz w:val="20"/>
          <w:szCs w:val="20"/>
        </w:rPr>
        <w:t xml:space="preserve"> report has been structured around the </w:t>
      </w:r>
      <w:r w:rsidR="00D12980" w:rsidRPr="003D2AB7">
        <w:rPr>
          <w:rFonts w:cstheme="minorHAnsi"/>
          <w:sz w:val="20"/>
          <w:szCs w:val="20"/>
        </w:rPr>
        <w:t>key program management elements. A</w:t>
      </w:r>
      <w:r w:rsidRPr="003D2AB7">
        <w:rPr>
          <w:rFonts w:cstheme="minorHAnsi"/>
          <w:sz w:val="20"/>
          <w:szCs w:val="20"/>
        </w:rPr>
        <w:t xml:space="preserve"> summary of</w:t>
      </w:r>
      <w:r w:rsidR="006C712C" w:rsidRPr="003D2AB7">
        <w:rPr>
          <w:rFonts w:cstheme="minorHAnsi"/>
          <w:sz w:val="20"/>
          <w:szCs w:val="20"/>
        </w:rPr>
        <w:t xml:space="preserve"> our</w:t>
      </w:r>
      <w:r w:rsidRPr="003D2AB7">
        <w:rPr>
          <w:rFonts w:cstheme="minorHAnsi"/>
          <w:sz w:val="20"/>
          <w:szCs w:val="20"/>
        </w:rPr>
        <w:t xml:space="preserve"> </w:t>
      </w:r>
      <w:r w:rsidR="00D12980" w:rsidRPr="003D2AB7">
        <w:rPr>
          <w:rFonts w:cstheme="minorHAnsi"/>
          <w:sz w:val="20"/>
          <w:szCs w:val="20"/>
        </w:rPr>
        <w:t>overall assessment against these elements is captured in the table below.</w:t>
      </w: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8080"/>
      </w:tblGrid>
      <w:tr w:rsidR="00F52F5B" w:rsidRPr="003D2AB7" w14:paraId="23A9EF07" w14:textId="77777777" w:rsidTr="00FF455B">
        <w:trPr>
          <w:tblHeader/>
        </w:trPr>
        <w:tc>
          <w:tcPr>
            <w:tcW w:w="1838" w:type="dxa"/>
            <w:shd w:val="clear" w:color="auto" w:fill="0070C0"/>
          </w:tcPr>
          <w:p w14:paraId="46A3AD3F" w14:textId="77777777" w:rsidR="00F52F5B" w:rsidRPr="003D2AB7" w:rsidRDefault="00F52F5B" w:rsidP="0069576D">
            <w:pPr>
              <w:spacing w:before="60" w:after="60"/>
              <w:ind w:right="68"/>
              <w:rPr>
                <w:rFonts w:cstheme="minorHAnsi"/>
                <w:b/>
                <w:color w:val="FFFFFF" w:themeColor="background1"/>
                <w:sz w:val="20"/>
                <w:szCs w:val="20"/>
              </w:rPr>
            </w:pPr>
            <w:r w:rsidRPr="003D2AB7">
              <w:rPr>
                <w:rFonts w:cstheme="minorHAnsi"/>
                <w:b/>
                <w:color w:val="FFFFFF" w:themeColor="background1"/>
                <w:sz w:val="20"/>
                <w:szCs w:val="20"/>
              </w:rPr>
              <w:t>Area of Focus</w:t>
            </w:r>
          </w:p>
        </w:tc>
        <w:tc>
          <w:tcPr>
            <w:tcW w:w="8080" w:type="dxa"/>
            <w:shd w:val="clear" w:color="auto" w:fill="0070C0"/>
          </w:tcPr>
          <w:p w14:paraId="103A3257" w14:textId="77777777" w:rsidR="00F52F5B" w:rsidRPr="003D2AB7" w:rsidRDefault="00F52F5B" w:rsidP="0069576D">
            <w:pPr>
              <w:spacing w:before="60" w:after="60"/>
              <w:ind w:right="68"/>
              <w:rPr>
                <w:rFonts w:cstheme="minorHAnsi"/>
                <w:b/>
                <w:color w:val="FFFFFF" w:themeColor="background1"/>
                <w:sz w:val="20"/>
                <w:szCs w:val="20"/>
              </w:rPr>
            </w:pPr>
            <w:r w:rsidRPr="003D2AB7">
              <w:rPr>
                <w:rFonts w:cstheme="minorHAnsi"/>
                <w:b/>
                <w:color w:val="FFFFFF" w:themeColor="background1"/>
                <w:sz w:val="20"/>
                <w:szCs w:val="20"/>
              </w:rPr>
              <w:t xml:space="preserve">Key observations </w:t>
            </w:r>
          </w:p>
        </w:tc>
      </w:tr>
      <w:tr w:rsidR="00F52F5B" w:rsidRPr="003D2AB7" w14:paraId="14EF5C82" w14:textId="77777777" w:rsidTr="00FF455B">
        <w:tc>
          <w:tcPr>
            <w:tcW w:w="1838" w:type="dxa"/>
          </w:tcPr>
          <w:p w14:paraId="49439498" w14:textId="77777777" w:rsidR="00F52F5B" w:rsidRPr="003D2AB7" w:rsidRDefault="00F52F5B" w:rsidP="00213A6D">
            <w:pPr>
              <w:spacing w:before="60" w:after="60"/>
              <w:rPr>
                <w:rFonts w:cstheme="minorHAnsi"/>
                <w:sz w:val="20"/>
                <w:szCs w:val="20"/>
              </w:rPr>
            </w:pPr>
            <w:r w:rsidRPr="003D2AB7">
              <w:rPr>
                <w:rFonts w:cstheme="minorHAnsi"/>
                <w:sz w:val="20"/>
                <w:szCs w:val="20"/>
              </w:rPr>
              <w:t xml:space="preserve">Governance and Reporting </w:t>
            </w:r>
          </w:p>
        </w:tc>
        <w:tc>
          <w:tcPr>
            <w:tcW w:w="8080" w:type="dxa"/>
            <w:shd w:val="clear" w:color="auto" w:fill="auto"/>
          </w:tcPr>
          <w:p w14:paraId="40A855C6" w14:textId="77777777" w:rsidR="00F52F5B" w:rsidRPr="003D2AB7" w:rsidRDefault="00213A6D" w:rsidP="008E5A7B">
            <w:pPr>
              <w:spacing w:before="120" w:after="120"/>
              <w:rPr>
                <w:rFonts w:cstheme="minorHAnsi"/>
                <w:sz w:val="20"/>
                <w:szCs w:val="20"/>
              </w:rPr>
            </w:pPr>
            <w:r w:rsidRPr="003D2AB7">
              <w:rPr>
                <w:rFonts w:cstheme="minorHAnsi"/>
                <w:sz w:val="20"/>
                <w:szCs w:val="20"/>
              </w:rPr>
              <w:t xml:space="preserve">DPI have established relevant governance roles and structures to provide oversight and control over the project. </w:t>
            </w:r>
            <w:r w:rsidR="008E5A7B" w:rsidRPr="003D2AB7">
              <w:rPr>
                <w:rFonts w:cstheme="minorHAnsi"/>
                <w:sz w:val="20"/>
                <w:szCs w:val="20"/>
              </w:rPr>
              <w:t xml:space="preserve">There is documentation that demonstrates these </w:t>
            </w:r>
            <w:r w:rsidRPr="003D2AB7">
              <w:rPr>
                <w:rFonts w:cstheme="minorHAnsi"/>
                <w:sz w:val="20"/>
                <w:szCs w:val="20"/>
              </w:rPr>
              <w:t xml:space="preserve">have been operating through the life of the IFM project supported by regular reporting. DPI has also placed a particular focus on continuous improvement and evaluation. </w:t>
            </w:r>
          </w:p>
        </w:tc>
      </w:tr>
      <w:tr w:rsidR="00F52F5B" w:rsidRPr="003D2AB7" w14:paraId="73AC39AA" w14:textId="77777777" w:rsidTr="00FF455B">
        <w:tc>
          <w:tcPr>
            <w:tcW w:w="1838" w:type="dxa"/>
          </w:tcPr>
          <w:p w14:paraId="3DBC96F5" w14:textId="77777777" w:rsidR="00F52F5B" w:rsidRPr="003D2AB7" w:rsidRDefault="00F52F5B" w:rsidP="00213A6D">
            <w:pPr>
              <w:spacing w:before="60" w:after="60"/>
              <w:rPr>
                <w:rFonts w:cstheme="minorHAnsi"/>
                <w:sz w:val="20"/>
                <w:szCs w:val="20"/>
              </w:rPr>
            </w:pPr>
            <w:r w:rsidRPr="003D2AB7">
              <w:rPr>
                <w:rFonts w:cstheme="minorHAnsi"/>
                <w:sz w:val="20"/>
                <w:szCs w:val="20"/>
              </w:rPr>
              <w:t>Application assessment</w:t>
            </w:r>
          </w:p>
        </w:tc>
        <w:tc>
          <w:tcPr>
            <w:tcW w:w="8080" w:type="dxa"/>
            <w:shd w:val="clear" w:color="auto" w:fill="auto"/>
          </w:tcPr>
          <w:p w14:paraId="06F80388" w14:textId="77777777" w:rsidR="00F52F5B" w:rsidRPr="003D2AB7" w:rsidRDefault="00213A6D" w:rsidP="008E5A7B">
            <w:pPr>
              <w:spacing w:before="60" w:after="60"/>
              <w:ind w:right="68"/>
              <w:rPr>
                <w:rFonts w:cstheme="minorHAnsi"/>
                <w:sz w:val="20"/>
                <w:szCs w:val="20"/>
              </w:rPr>
            </w:pPr>
            <w:r w:rsidRPr="003D2AB7">
              <w:rPr>
                <w:rFonts w:cstheme="minorHAnsi"/>
                <w:sz w:val="20"/>
                <w:szCs w:val="20"/>
              </w:rPr>
              <w:t>DPI has a well-defined and robust application assessment process. Multiple controls and processes exist and are designed to support transparent and accountable decision making.</w:t>
            </w:r>
          </w:p>
        </w:tc>
      </w:tr>
      <w:tr w:rsidR="00F52F5B" w:rsidRPr="003D2AB7" w14:paraId="3CF80C11" w14:textId="77777777" w:rsidTr="00FF455B">
        <w:trPr>
          <w:trHeight w:val="798"/>
        </w:trPr>
        <w:tc>
          <w:tcPr>
            <w:tcW w:w="1838" w:type="dxa"/>
          </w:tcPr>
          <w:p w14:paraId="312D36FB" w14:textId="77777777" w:rsidR="00F52F5B" w:rsidRPr="003D2AB7" w:rsidRDefault="00F52F5B" w:rsidP="00213A6D">
            <w:pPr>
              <w:spacing w:before="60" w:after="60"/>
              <w:rPr>
                <w:rFonts w:cstheme="minorHAnsi"/>
                <w:sz w:val="20"/>
                <w:szCs w:val="20"/>
              </w:rPr>
            </w:pPr>
            <w:r w:rsidRPr="003D2AB7">
              <w:rPr>
                <w:rFonts w:cstheme="minorHAnsi"/>
                <w:sz w:val="20"/>
                <w:szCs w:val="20"/>
              </w:rPr>
              <w:t>Risk and issue management</w:t>
            </w:r>
          </w:p>
        </w:tc>
        <w:tc>
          <w:tcPr>
            <w:tcW w:w="8080" w:type="dxa"/>
          </w:tcPr>
          <w:p w14:paraId="2EA2F75A" w14:textId="77777777" w:rsidR="00F52F5B" w:rsidRPr="003D2AB7" w:rsidRDefault="00213A6D" w:rsidP="00213A6D">
            <w:pPr>
              <w:spacing w:before="60" w:after="60"/>
              <w:ind w:right="68"/>
              <w:rPr>
                <w:rFonts w:cstheme="minorHAnsi"/>
                <w:sz w:val="20"/>
                <w:szCs w:val="20"/>
              </w:rPr>
            </w:pPr>
            <w:r w:rsidRPr="003D2AB7">
              <w:rPr>
                <w:rFonts w:cstheme="minorHAnsi"/>
                <w:sz w:val="20"/>
                <w:szCs w:val="20"/>
              </w:rPr>
              <w:t>Whilst DPI appear to have regular and active discussion on IFM risks and issues, risk and issue management processes have not been formalised.</w:t>
            </w:r>
          </w:p>
        </w:tc>
      </w:tr>
      <w:tr w:rsidR="00F52F5B" w:rsidRPr="003D2AB7" w14:paraId="43E0BC79" w14:textId="77777777" w:rsidTr="00FF455B">
        <w:tc>
          <w:tcPr>
            <w:tcW w:w="1838" w:type="dxa"/>
          </w:tcPr>
          <w:p w14:paraId="12F3AFE3" w14:textId="77777777" w:rsidR="00F52F5B" w:rsidRPr="003D2AB7" w:rsidRDefault="00F52F5B" w:rsidP="00213A6D">
            <w:pPr>
              <w:spacing w:before="60" w:after="60"/>
              <w:rPr>
                <w:rFonts w:cstheme="minorHAnsi"/>
                <w:sz w:val="20"/>
                <w:szCs w:val="20"/>
              </w:rPr>
            </w:pPr>
            <w:r w:rsidRPr="003D2AB7">
              <w:rPr>
                <w:rFonts w:cstheme="minorHAnsi"/>
                <w:sz w:val="20"/>
                <w:szCs w:val="20"/>
              </w:rPr>
              <w:t>Financial management</w:t>
            </w:r>
          </w:p>
        </w:tc>
        <w:tc>
          <w:tcPr>
            <w:tcW w:w="8080" w:type="dxa"/>
          </w:tcPr>
          <w:p w14:paraId="29AF446C" w14:textId="77777777" w:rsidR="00F52F5B" w:rsidRPr="003D2AB7" w:rsidRDefault="00213A6D" w:rsidP="00213A6D">
            <w:pPr>
              <w:spacing w:before="60" w:after="60"/>
              <w:ind w:right="68"/>
              <w:rPr>
                <w:rFonts w:cstheme="minorHAnsi"/>
                <w:sz w:val="20"/>
                <w:szCs w:val="20"/>
              </w:rPr>
            </w:pPr>
            <w:r w:rsidRPr="003D2AB7">
              <w:rPr>
                <w:rFonts w:cstheme="minorHAnsi"/>
                <w:sz w:val="20"/>
                <w:szCs w:val="20"/>
              </w:rPr>
              <w:t xml:space="preserve">DPI appears to have implemented appropriate financial management systems, processes and controls at both an individual proponent and IFM project level. These processes and controls are designed to support the appropriate use of Commonwealth funds and appear to be fit for purpose. No material discrepancies or control deficiencies were identified.   </w:t>
            </w:r>
          </w:p>
        </w:tc>
      </w:tr>
      <w:tr w:rsidR="00F52F5B" w:rsidRPr="003D2AB7" w14:paraId="5D8E4359" w14:textId="77777777" w:rsidTr="00FF455B">
        <w:tc>
          <w:tcPr>
            <w:tcW w:w="1838" w:type="dxa"/>
          </w:tcPr>
          <w:p w14:paraId="1FAB549C" w14:textId="77777777" w:rsidR="00F52F5B" w:rsidRPr="003D2AB7" w:rsidRDefault="00F52F5B" w:rsidP="00213A6D">
            <w:pPr>
              <w:spacing w:before="60" w:after="60"/>
              <w:rPr>
                <w:rFonts w:cstheme="minorHAnsi"/>
                <w:sz w:val="20"/>
                <w:szCs w:val="20"/>
              </w:rPr>
            </w:pPr>
            <w:r w:rsidRPr="003D2AB7">
              <w:rPr>
                <w:rFonts w:cstheme="minorHAnsi"/>
                <w:sz w:val="20"/>
                <w:szCs w:val="20"/>
              </w:rPr>
              <w:t xml:space="preserve">Stakeholder engagement </w:t>
            </w:r>
          </w:p>
        </w:tc>
        <w:tc>
          <w:tcPr>
            <w:tcW w:w="8080" w:type="dxa"/>
          </w:tcPr>
          <w:p w14:paraId="0AD9B8AC" w14:textId="77777777" w:rsidR="00F52F5B" w:rsidRPr="003D2AB7" w:rsidRDefault="00213A6D" w:rsidP="00213A6D">
            <w:pPr>
              <w:spacing w:before="60" w:after="60"/>
              <w:ind w:right="68"/>
              <w:rPr>
                <w:rFonts w:cstheme="minorHAnsi"/>
                <w:sz w:val="20"/>
                <w:szCs w:val="20"/>
              </w:rPr>
            </w:pPr>
            <w:r w:rsidRPr="003D2AB7">
              <w:rPr>
                <w:rFonts w:cstheme="minorHAnsi"/>
                <w:sz w:val="20"/>
                <w:szCs w:val="20"/>
              </w:rPr>
              <w:t xml:space="preserve">Various mechanisms for engaging and communicating with industry and community stakeholders have been implemented. DPI have demonstrated commitment to engaging with stakeholders through regular and ongoing engagement activities. </w:t>
            </w:r>
          </w:p>
        </w:tc>
      </w:tr>
      <w:tr w:rsidR="00F52F5B" w:rsidRPr="003D2AB7" w14:paraId="6C9DEDDD" w14:textId="77777777" w:rsidTr="00FF455B">
        <w:tc>
          <w:tcPr>
            <w:tcW w:w="1838" w:type="dxa"/>
          </w:tcPr>
          <w:p w14:paraId="35BA9542" w14:textId="77777777" w:rsidR="00F52F5B" w:rsidRPr="003D2AB7" w:rsidRDefault="00F52F5B" w:rsidP="00213A6D">
            <w:pPr>
              <w:spacing w:before="60" w:after="60"/>
              <w:rPr>
                <w:rFonts w:cstheme="minorHAnsi"/>
                <w:sz w:val="20"/>
                <w:szCs w:val="20"/>
              </w:rPr>
            </w:pPr>
            <w:r w:rsidRPr="003D2AB7">
              <w:rPr>
                <w:rFonts w:cstheme="minorHAnsi"/>
                <w:sz w:val="20"/>
                <w:szCs w:val="20"/>
              </w:rPr>
              <w:t>Water Transfer</w:t>
            </w:r>
          </w:p>
        </w:tc>
        <w:tc>
          <w:tcPr>
            <w:tcW w:w="8080" w:type="dxa"/>
          </w:tcPr>
          <w:p w14:paraId="51FCDC58" w14:textId="77777777" w:rsidR="00F52F5B" w:rsidRPr="003D2AB7" w:rsidRDefault="00213A6D" w:rsidP="00213A6D">
            <w:pPr>
              <w:spacing w:before="60" w:after="60"/>
              <w:ind w:right="68"/>
              <w:rPr>
                <w:rFonts w:cstheme="minorHAnsi"/>
                <w:sz w:val="20"/>
                <w:szCs w:val="20"/>
              </w:rPr>
            </w:pPr>
            <w:r w:rsidRPr="003D2AB7">
              <w:rPr>
                <w:rFonts w:cstheme="minorHAnsi"/>
                <w:sz w:val="20"/>
                <w:szCs w:val="20"/>
              </w:rPr>
              <w:t>DPI have established appropriate processes and procedures to facilitate the transfer of water savings to the Commonwealth in accordance with the WMPA.</w:t>
            </w:r>
          </w:p>
        </w:tc>
      </w:tr>
      <w:tr w:rsidR="00F52F5B" w:rsidRPr="003D2AB7" w14:paraId="4D508B27" w14:textId="77777777" w:rsidTr="00FF455B">
        <w:tc>
          <w:tcPr>
            <w:tcW w:w="1838" w:type="dxa"/>
          </w:tcPr>
          <w:p w14:paraId="01BB2595" w14:textId="77777777" w:rsidR="00F52F5B" w:rsidRPr="003D2AB7" w:rsidRDefault="00F52F5B" w:rsidP="00213A6D">
            <w:pPr>
              <w:spacing w:before="60" w:after="60"/>
              <w:ind w:right="68"/>
              <w:rPr>
                <w:rFonts w:cstheme="minorHAnsi"/>
                <w:b/>
                <w:sz w:val="20"/>
                <w:szCs w:val="20"/>
              </w:rPr>
            </w:pPr>
            <w:r w:rsidRPr="003D2AB7">
              <w:rPr>
                <w:rFonts w:cstheme="minorHAnsi"/>
                <w:sz w:val="20"/>
                <w:szCs w:val="20"/>
              </w:rPr>
              <w:t>Project Management</w:t>
            </w:r>
            <w:r w:rsidRPr="003D2AB7">
              <w:rPr>
                <w:rFonts w:cstheme="minorHAnsi"/>
                <w:b/>
                <w:sz w:val="20"/>
                <w:szCs w:val="20"/>
              </w:rPr>
              <w:t xml:space="preserve"> </w:t>
            </w:r>
          </w:p>
        </w:tc>
        <w:tc>
          <w:tcPr>
            <w:tcW w:w="8080" w:type="dxa"/>
          </w:tcPr>
          <w:p w14:paraId="039D86FF" w14:textId="77777777" w:rsidR="00F52F5B" w:rsidRPr="003D2AB7" w:rsidRDefault="00213A6D" w:rsidP="00213A6D">
            <w:pPr>
              <w:spacing w:before="60" w:after="60"/>
              <w:ind w:right="68"/>
              <w:rPr>
                <w:rFonts w:cstheme="minorHAnsi"/>
                <w:sz w:val="20"/>
                <w:szCs w:val="20"/>
              </w:rPr>
            </w:pPr>
            <w:r w:rsidRPr="003D2AB7">
              <w:rPr>
                <w:rFonts w:cstheme="minorHAnsi"/>
                <w:sz w:val="20"/>
                <w:szCs w:val="20"/>
              </w:rPr>
              <w:t>DPI appear to have established appropriate processes to manage and monitor proponent projects in accordance with the requirements as set out in</w:t>
            </w:r>
            <w:r w:rsidR="00D2167C" w:rsidRPr="003D2AB7">
              <w:rPr>
                <w:rFonts w:cstheme="minorHAnsi"/>
                <w:sz w:val="20"/>
                <w:szCs w:val="20"/>
              </w:rPr>
              <w:t xml:space="preserve"> the</w:t>
            </w:r>
            <w:r w:rsidRPr="003D2AB7">
              <w:rPr>
                <w:rFonts w:cstheme="minorHAnsi"/>
                <w:sz w:val="20"/>
                <w:szCs w:val="20"/>
              </w:rPr>
              <w:t xml:space="preserve"> proponent funding deed and WMPA. The emphasis DPI placed on record keeping and audit trail was evident through testing and ensured an accurate representation of project activities and decisions.</w:t>
            </w:r>
          </w:p>
        </w:tc>
      </w:tr>
      <w:tr w:rsidR="00F52F5B" w:rsidRPr="003D2AB7" w14:paraId="0192C456" w14:textId="77777777" w:rsidTr="00FF455B">
        <w:tc>
          <w:tcPr>
            <w:tcW w:w="1838" w:type="dxa"/>
          </w:tcPr>
          <w:p w14:paraId="25F72F93" w14:textId="77777777" w:rsidR="00F52F5B" w:rsidRPr="003D2AB7" w:rsidRDefault="00F52F5B" w:rsidP="00213A6D">
            <w:pPr>
              <w:spacing w:before="60" w:after="60"/>
              <w:rPr>
                <w:rFonts w:cstheme="minorHAnsi"/>
                <w:sz w:val="20"/>
                <w:szCs w:val="20"/>
              </w:rPr>
            </w:pPr>
            <w:r w:rsidRPr="003D2AB7">
              <w:rPr>
                <w:rFonts w:cstheme="minorHAnsi"/>
                <w:sz w:val="20"/>
                <w:szCs w:val="20"/>
              </w:rPr>
              <w:t>On-ground verification</w:t>
            </w:r>
          </w:p>
        </w:tc>
        <w:tc>
          <w:tcPr>
            <w:tcW w:w="8080" w:type="dxa"/>
          </w:tcPr>
          <w:p w14:paraId="16E8F1D9" w14:textId="4511E449" w:rsidR="00F52F5B" w:rsidRPr="003D2AB7" w:rsidRDefault="002E32BD" w:rsidP="00B1779F">
            <w:pPr>
              <w:spacing w:before="60" w:after="60"/>
              <w:ind w:right="68"/>
              <w:rPr>
                <w:rFonts w:cstheme="minorHAnsi"/>
                <w:sz w:val="20"/>
                <w:szCs w:val="20"/>
              </w:rPr>
            </w:pPr>
            <w:r w:rsidRPr="003D2AB7">
              <w:rPr>
                <w:rFonts w:cstheme="minorHAnsi"/>
                <w:sz w:val="20"/>
                <w:szCs w:val="20"/>
              </w:rPr>
              <w:t>From visual inspection, installed works appear</w:t>
            </w:r>
            <w:r w:rsidR="00474DAB" w:rsidRPr="003D2AB7">
              <w:rPr>
                <w:rFonts w:cstheme="minorHAnsi"/>
                <w:sz w:val="20"/>
                <w:szCs w:val="20"/>
              </w:rPr>
              <w:t xml:space="preserve">ed </w:t>
            </w:r>
            <w:r w:rsidRPr="003D2AB7">
              <w:rPr>
                <w:rFonts w:cstheme="minorHAnsi"/>
                <w:sz w:val="20"/>
                <w:szCs w:val="20"/>
              </w:rPr>
              <w:t xml:space="preserve">to correspond with the documentation provided, specifically, scope </w:t>
            </w:r>
            <w:r w:rsidR="00474DAB" w:rsidRPr="003D2AB7">
              <w:rPr>
                <w:rFonts w:cstheme="minorHAnsi"/>
                <w:sz w:val="20"/>
                <w:szCs w:val="20"/>
              </w:rPr>
              <w:t xml:space="preserve">and progress </w:t>
            </w:r>
            <w:r w:rsidRPr="003D2AB7">
              <w:rPr>
                <w:rFonts w:cstheme="minorHAnsi"/>
                <w:sz w:val="20"/>
                <w:szCs w:val="20"/>
              </w:rPr>
              <w:t>of works</w:t>
            </w:r>
            <w:r w:rsidR="00474DAB" w:rsidRPr="003D2AB7">
              <w:rPr>
                <w:rFonts w:cstheme="minorHAnsi"/>
                <w:sz w:val="20"/>
                <w:szCs w:val="20"/>
              </w:rPr>
              <w:t xml:space="preserve"> reported</w:t>
            </w:r>
            <w:r w:rsidRPr="003D2AB7">
              <w:rPr>
                <w:rFonts w:cstheme="minorHAnsi"/>
                <w:sz w:val="20"/>
                <w:szCs w:val="20"/>
              </w:rPr>
              <w:t xml:space="preserve"> in the approved applicatio</w:t>
            </w:r>
            <w:r w:rsidR="00B1779F" w:rsidRPr="003D2AB7">
              <w:rPr>
                <w:rFonts w:cstheme="minorHAnsi"/>
                <w:sz w:val="20"/>
                <w:szCs w:val="20"/>
              </w:rPr>
              <w:t>n and milestone inspection reports.</w:t>
            </w:r>
          </w:p>
        </w:tc>
      </w:tr>
    </w:tbl>
    <w:p w14:paraId="7682DB0D" w14:textId="77777777" w:rsidR="00E70250" w:rsidRPr="003D2AB7" w:rsidRDefault="00E70250" w:rsidP="00DA608C">
      <w:pPr>
        <w:spacing w:before="120" w:after="120" w:line="240" w:lineRule="auto"/>
        <w:rPr>
          <w:rFonts w:cstheme="minorHAnsi"/>
        </w:rPr>
      </w:pPr>
      <w:r w:rsidRPr="003D2AB7">
        <w:rPr>
          <w:rFonts w:cstheme="minorHAnsi"/>
          <w:sz w:val="20"/>
          <w:szCs w:val="20"/>
        </w:rPr>
        <w:t xml:space="preserve">Whilst this review was not designed to detect fraudulent activity, any activity warranting further investigation would be brought to </w:t>
      </w:r>
      <w:r w:rsidR="00EC7BE3" w:rsidRPr="003D2AB7">
        <w:rPr>
          <w:rFonts w:cstheme="minorHAnsi"/>
          <w:sz w:val="20"/>
          <w:szCs w:val="20"/>
        </w:rPr>
        <w:t xml:space="preserve">the </w:t>
      </w:r>
      <w:r w:rsidRPr="003D2AB7">
        <w:rPr>
          <w:rFonts w:cstheme="minorHAnsi"/>
          <w:sz w:val="20"/>
          <w:szCs w:val="20"/>
        </w:rPr>
        <w:t xml:space="preserve">attention of management. Notwithstanding this, no instances of fraudulent transactions or behaviours were identified during the course of our fieldwork.  </w:t>
      </w:r>
    </w:p>
    <w:p w14:paraId="151A6A54" w14:textId="77777777" w:rsidR="00816561" w:rsidRPr="003D2AB7" w:rsidRDefault="0097725F" w:rsidP="00336886">
      <w:pPr>
        <w:pStyle w:val="Heading1"/>
        <w:rPr>
          <w:rFonts w:asciiTheme="minorHAnsi" w:hAnsiTheme="minorHAnsi" w:cstheme="minorHAnsi"/>
          <w:sz w:val="72"/>
        </w:rPr>
      </w:pPr>
      <w:bookmarkStart w:id="14" w:name="_Toc522868860"/>
      <w:bookmarkStart w:id="15" w:name="_Toc522868861"/>
      <w:bookmarkStart w:id="16" w:name="_Toc532474950"/>
      <w:bookmarkEnd w:id="14"/>
      <w:bookmarkEnd w:id="15"/>
      <w:r w:rsidRPr="003D2AB7">
        <w:rPr>
          <w:rFonts w:asciiTheme="minorHAnsi" w:hAnsiTheme="minorHAnsi" w:cstheme="minorHAnsi"/>
          <w:sz w:val="72"/>
        </w:rPr>
        <w:t xml:space="preserve">Findings and </w:t>
      </w:r>
      <w:r w:rsidR="00CE71B8" w:rsidRPr="003D2AB7">
        <w:rPr>
          <w:rFonts w:asciiTheme="minorHAnsi" w:hAnsiTheme="minorHAnsi" w:cstheme="minorHAnsi"/>
          <w:sz w:val="72"/>
        </w:rPr>
        <w:t>o</w:t>
      </w:r>
      <w:r w:rsidRPr="003D2AB7">
        <w:rPr>
          <w:rFonts w:asciiTheme="minorHAnsi" w:hAnsiTheme="minorHAnsi" w:cstheme="minorHAnsi"/>
          <w:sz w:val="72"/>
        </w:rPr>
        <w:t>bservations</w:t>
      </w:r>
      <w:bookmarkEnd w:id="16"/>
    </w:p>
    <w:p w14:paraId="316DC70C" w14:textId="77777777" w:rsidR="00C42CBA" w:rsidRPr="003D2AB7" w:rsidRDefault="00C42CBA" w:rsidP="000722AF">
      <w:pPr>
        <w:pStyle w:val="Heading2"/>
        <w:rPr>
          <w:rFonts w:asciiTheme="minorHAnsi" w:hAnsiTheme="minorHAnsi" w:cstheme="minorHAnsi"/>
          <w:color w:val="0070C0"/>
        </w:rPr>
      </w:pPr>
      <w:bookmarkStart w:id="17" w:name="_Toc532474951"/>
      <w:r w:rsidRPr="003D2AB7">
        <w:rPr>
          <w:rFonts w:asciiTheme="minorHAnsi" w:hAnsiTheme="minorHAnsi" w:cstheme="minorHAnsi"/>
          <w:color w:val="0070C0"/>
        </w:rPr>
        <w:t>Governance and reporting</w:t>
      </w:r>
      <w:bookmarkEnd w:id="17"/>
    </w:p>
    <w:p w14:paraId="5B79E97B" w14:textId="77777777" w:rsidR="00AC5F8F" w:rsidRPr="003D2AB7" w:rsidRDefault="00213A6D" w:rsidP="00F74EDA">
      <w:pPr>
        <w:shd w:val="clear" w:color="auto" w:fill="E7E6E6" w:themeFill="background2"/>
        <w:spacing w:before="120" w:after="120" w:line="240" w:lineRule="auto"/>
        <w:rPr>
          <w:rFonts w:cstheme="minorHAnsi"/>
          <w:sz w:val="20"/>
          <w:szCs w:val="20"/>
        </w:rPr>
      </w:pPr>
      <w:r w:rsidRPr="003D2AB7">
        <w:rPr>
          <w:rFonts w:cstheme="minorHAnsi"/>
          <w:i/>
          <w:sz w:val="20"/>
          <w:szCs w:val="20"/>
        </w:rPr>
        <w:t xml:space="preserve">DPI have established relevant </w:t>
      </w:r>
      <w:r w:rsidR="00474DAB" w:rsidRPr="003D2AB7">
        <w:rPr>
          <w:rFonts w:cstheme="minorHAnsi"/>
          <w:i/>
          <w:sz w:val="20"/>
          <w:szCs w:val="20"/>
        </w:rPr>
        <w:t xml:space="preserve">governance </w:t>
      </w:r>
      <w:r w:rsidRPr="003D2AB7">
        <w:rPr>
          <w:rFonts w:cstheme="minorHAnsi"/>
          <w:i/>
          <w:sz w:val="20"/>
          <w:szCs w:val="20"/>
        </w:rPr>
        <w:t xml:space="preserve">roles and structures to provide oversight and control over the project. These </w:t>
      </w:r>
      <w:r w:rsidR="00244305" w:rsidRPr="003D2AB7">
        <w:rPr>
          <w:rFonts w:cstheme="minorHAnsi"/>
          <w:i/>
          <w:sz w:val="20"/>
          <w:szCs w:val="20"/>
        </w:rPr>
        <w:t xml:space="preserve">appear to </w:t>
      </w:r>
      <w:r w:rsidR="00292CD1" w:rsidRPr="003D2AB7">
        <w:rPr>
          <w:rFonts w:cstheme="minorHAnsi"/>
          <w:i/>
          <w:sz w:val="20"/>
          <w:szCs w:val="20"/>
        </w:rPr>
        <w:t>have been operating through the life of the IFM project</w:t>
      </w:r>
      <w:r w:rsidRPr="003D2AB7">
        <w:rPr>
          <w:rFonts w:cstheme="minorHAnsi"/>
          <w:i/>
          <w:sz w:val="20"/>
          <w:szCs w:val="20"/>
        </w:rPr>
        <w:t xml:space="preserve"> supported by regular reporting. DPI has also placed a particular focus on continuous improvement and evaluation</w:t>
      </w:r>
      <w:r w:rsidR="00292CD1" w:rsidRPr="003D2AB7">
        <w:rPr>
          <w:rFonts w:cstheme="minorHAnsi"/>
          <w:i/>
          <w:sz w:val="20"/>
          <w:szCs w:val="20"/>
        </w:rPr>
        <w:t>.</w:t>
      </w:r>
      <w:r w:rsidR="00474DAB" w:rsidRPr="003D2AB7">
        <w:rPr>
          <w:rFonts w:cstheme="minorHAnsi"/>
          <w:i/>
          <w:sz w:val="20"/>
          <w:szCs w:val="20"/>
        </w:rPr>
        <w:t xml:space="preserve"> </w:t>
      </w:r>
    </w:p>
    <w:p w14:paraId="6EFEF084" w14:textId="77777777" w:rsidR="00F955B8" w:rsidRPr="003D2AB7" w:rsidRDefault="00F955B8" w:rsidP="00F955B8">
      <w:pPr>
        <w:spacing w:before="120" w:after="120" w:line="240" w:lineRule="auto"/>
        <w:rPr>
          <w:rFonts w:cstheme="minorHAnsi"/>
          <w:sz w:val="20"/>
          <w:szCs w:val="20"/>
        </w:rPr>
      </w:pPr>
      <w:r w:rsidRPr="003D2AB7">
        <w:rPr>
          <w:rFonts w:cstheme="minorHAnsi"/>
          <w:sz w:val="20"/>
          <w:szCs w:val="20"/>
        </w:rPr>
        <w:t xml:space="preserve">KPMG considered the governance mechanisms established to manage and implement the </w:t>
      </w:r>
      <w:r w:rsidR="00292CD1" w:rsidRPr="003D2AB7">
        <w:rPr>
          <w:rFonts w:cstheme="minorHAnsi"/>
          <w:sz w:val="20"/>
          <w:szCs w:val="20"/>
        </w:rPr>
        <w:t>IFM</w:t>
      </w:r>
      <w:r w:rsidRPr="003D2AB7">
        <w:rPr>
          <w:rFonts w:cstheme="minorHAnsi"/>
          <w:sz w:val="20"/>
          <w:szCs w:val="20"/>
        </w:rPr>
        <w:t xml:space="preserve"> project. This included:</w:t>
      </w:r>
    </w:p>
    <w:p w14:paraId="455DFA2E" w14:textId="77777777" w:rsidR="00F955B8" w:rsidRPr="003D2AB7" w:rsidRDefault="00F955B8" w:rsidP="00251635">
      <w:pPr>
        <w:pStyle w:val="ListParagraph"/>
        <w:numPr>
          <w:ilvl w:val="0"/>
          <w:numId w:val="5"/>
        </w:numPr>
        <w:spacing w:before="120" w:after="120" w:line="240" w:lineRule="auto"/>
        <w:rPr>
          <w:rFonts w:cstheme="minorHAnsi"/>
          <w:sz w:val="20"/>
          <w:szCs w:val="20"/>
        </w:rPr>
      </w:pPr>
      <w:r w:rsidRPr="003D2AB7">
        <w:rPr>
          <w:rFonts w:cstheme="minorHAnsi"/>
          <w:sz w:val="20"/>
          <w:szCs w:val="20"/>
        </w:rPr>
        <w:t>Establishment of a clear governance structure</w:t>
      </w:r>
      <w:r w:rsidR="008774A5" w:rsidRPr="003D2AB7">
        <w:rPr>
          <w:rFonts w:cstheme="minorHAnsi"/>
          <w:sz w:val="20"/>
          <w:szCs w:val="20"/>
        </w:rPr>
        <w:t>.</w:t>
      </w:r>
      <w:r w:rsidRPr="003D2AB7">
        <w:rPr>
          <w:rFonts w:cstheme="minorHAnsi"/>
          <w:sz w:val="20"/>
          <w:szCs w:val="20"/>
        </w:rPr>
        <w:t xml:space="preserve"> </w:t>
      </w:r>
    </w:p>
    <w:p w14:paraId="415384DD" w14:textId="77777777" w:rsidR="00F955B8" w:rsidRPr="003D2AB7" w:rsidRDefault="00F955B8" w:rsidP="00251635">
      <w:pPr>
        <w:pStyle w:val="ListParagraph"/>
        <w:numPr>
          <w:ilvl w:val="0"/>
          <w:numId w:val="5"/>
        </w:numPr>
        <w:spacing w:before="120" w:after="120" w:line="240" w:lineRule="auto"/>
        <w:rPr>
          <w:rFonts w:cstheme="minorHAnsi"/>
          <w:sz w:val="20"/>
          <w:szCs w:val="20"/>
        </w:rPr>
      </w:pPr>
      <w:r w:rsidRPr="003D2AB7">
        <w:rPr>
          <w:rFonts w:cstheme="minorHAnsi"/>
          <w:sz w:val="20"/>
          <w:szCs w:val="20"/>
        </w:rPr>
        <w:t>Defined roles and responsibilities</w:t>
      </w:r>
      <w:r w:rsidR="008774A5" w:rsidRPr="003D2AB7">
        <w:rPr>
          <w:rFonts w:cstheme="minorHAnsi"/>
          <w:sz w:val="20"/>
          <w:szCs w:val="20"/>
        </w:rPr>
        <w:t>.</w:t>
      </w:r>
    </w:p>
    <w:p w14:paraId="3C1CD712" w14:textId="77777777" w:rsidR="00F955B8" w:rsidRPr="003D2AB7" w:rsidRDefault="00F955B8" w:rsidP="00251635">
      <w:pPr>
        <w:pStyle w:val="ListParagraph"/>
        <w:numPr>
          <w:ilvl w:val="0"/>
          <w:numId w:val="5"/>
        </w:numPr>
        <w:spacing w:before="120" w:after="120" w:line="240" w:lineRule="auto"/>
        <w:ind w:left="357" w:hanging="357"/>
        <w:contextualSpacing w:val="0"/>
        <w:rPr>
          <w:rFonts w:cstheme="minorHAnsi"/>
          <w:sz w:val="20"/>
          <w:szCs w:val="20"/>
        </w:rPr>
      </w:pPr>
      <w:r w:rsidRPr="003D2AB7">
        <w:rPr>
          <w:rFonts w:cstheme="minorHAnsi"/>
          <w:sz w:val="20"/>
          <w:szCs w:val="20"/>
        </w:rPr>
        <w:t>Regular, timely and fit for purpose reporting.</w:t>
      </w:r>
    </w:p>
    <w:p w14:paraId="39739DA3" w14:textId="77777777" w:rsidR="00AE5B1D" w:rsidRPr="003D2AB7" w:rsidRDefault="00AE5B1D" w:rsidP="00AE5B1D">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Governance and oversight</w:t>
      </w:r>
    </w:p>
    <w:p w14:paraId="237356B9" w14:textId="5A6F9870" w:rsidR="00292CD1" w:rsidRPr="003D2AB7" w:rsidRDefault="00292CD1" w:rsidP="003E73C2">
      <w:pPr>
        <w:spacing w:before="120" w:after="120" w:line="240" w:lineRule="auto"/>
        <w:rPr>
          <w:rFonts w:cstheme="minorHAnsi"/>
          <w:sz w:val="20"/>
          <w:szCs w:val="20"/>
        </w:rPr>
      </w:pPr>
      <w:r w:rsidRPr="003D2AB7">
        <w:rPr>
          <w:rFonts w:cstheme="minorHAnsi"/>
          <w:sz w:val="20"/>
          <w:szCs w:val="20"/>
        </w:rPr>
        <w:t>T</w:t>
      </w:r>
      <w:r w:rsidR="0017330F" w:rsidRPr="003D2AB7">
        <w:rPr>
          <w:rFonts w:cstheme="minorHAnsi"/>
          <w:sz w:val="20"/>
          <w:szCs w:val="20"/>
        </w:rPr>
        <w:t>he WMPA and the accompanyin</w:t>
      </w:r>
      <w:r w:rsidRPr="003D2AB7">
        <w:rPr>
          <w:rFonts w:cstheme="minorHAnsi"/>
          <w:sz w:val="20"/>
          <w:szCs w:val="20"/>
        </w:rPr>
        <w:t>g schedule</w:t>
      </w:r>
      <w:r w:rsidR="00150FEC" w:rsidRPr="003D2AB7">
        <w:rPr>
          <w:rFonts w:cstheme="minorHAnsi"/>
          <w:sz w:val="20"/>
          <w:szCs w:val="20"/>
        </w:rPr>
        <w:t>s</w:t>
      </w:r>
      <w:r w:rsidRPr="003D2AB7">
        <w:rPr>
          <w:rFonts w:cstheme="minorHAnsi"/>
          <w:sz w:val="20"/>
          <w:szCs w:val="20"/>
        </w:rPr>
        <w:t xml:space="preserve"> between DPI</w:t>
      </w:r>
      <w:r w:rsidR="0017330F" w:rsidRPr="003D2AB7">
        <w:rPr>
          <w:rFonts w:cstheme="minorHAnsi"/>
          <w:sz w:val="20"/>
          <w:szCs w:val="20"/>
        </w:rPr>
        <w:t xml:space="preserve"> and </w:t>
      </w:r>
      <w:r w:rsidR="005C7F2B" w:rsidRPr="003D2AB7">
        <w:rPr>
          <w:rFonts w:cstheme="minorHAnsi"/>
          <w:sz w:val="20"/>
          <w:szCs w:val="20"/>
        </w:rPr>
        <w:t xml:space="preserve">the </w:t>
      </w:r>
      <w:r w:rsidR="0017330F" w:rsidRPr="003D2AB7">
        <w:rPr>
          <w:rFonts w:cstheme="minorHAnsi"/>
          <w:sz w:val="20"/>
          <w:szCs w:val="20"/>
        </w:rPr>
        <w:t>Commonwealth</w:t>
      </w:r>
      <w:r w:rsidR="00506E89" w:rsidRPr="003D2AB7">
        <w:rPr>
          <w:rFonts w:cstheme="minorHAnsi"/>
          <w:sz w:val="20"/>
          <w:szCs w:val="20"/>
        </w:rPr>
        <w:t xml:space="preserve"> </w:t>
      </w:r>
      <w:r w:rsidR="001A7EA0" w:rsidRPr="003D2AB7">
        <w:rPr>
          <w:rFonts w:cstheme="minorHAnsi"/>
          <w:sz w:val="20"/>
          <w:szCs w:val="20"/>
        </w:rPr>
        <w:t>(</w:t>
      </w:r>
      <w:r w:rsidR="00506E89" w:rsidRPr="003D2AB7">
        <w:rPr>
          <w:rFonts w:cstheme="minorHAnsi"/>
          <w:sz w:val="20"/>
          <w:szCs w:val="20"/>
        </w:rPr>
        <w:t>represented by DAWR</w:t>
      </w:r>
      <w:r w:rsidR="001A7EA0" w:rsidRPr="003D2AB7">
        <w:rPr>
          <w:rFonts w:cstheme="minorHAnsi"/>
          <w:sz w:val="20"/>
          <w:szCs w:val="20"/>
        </w:rPr>
        <w:t>)</w:t>
      </w:r>
      <w:r w:rsidRPr="003D2AB7">
        <w:rPr>
          <w:rFonts w:cstheme="minorHAnsi"/>
          <w:sz w:val="20"/>
          <w:szCs w:val="20"/>
        </w:rPr>
        <w:t xml:space="preserve"> define the high-level </w:t>
      </w:r>
      <w:r w:rsidR="00F97B2D" w:rsidRPr="003D2AB7">
        <w:rPr>
          <w:rFonts w:cstheme="minorHAnsi"/>
          <w:sz w:val="20"/>
          <w:szCs w:val="20"/>
        </w:rPr>
        <w:t xml:space="preserve">contractual </w:t>
      </w:r>
      <w:r w:rsidRPr="003D2AB7">
        <w:rPr>
          <w:rFonts w:cstheme="minorHAnsi"/>
          <w:sz w:val="20"/>
          <w:szCs w:val="20"/>
        </w:rPr>
        <w:t xml:space="preserve">responsibilities of each of the </w:t>
      </w:r>
      <w:r w:rsidR="00D2167C" w:rsidRPr="003D2AB7">
        <w:rPr>
          <w:rFonts w:cstheme="minorHAnsi"/>
          <w:sz w:val="20"/>
          <w:szCs w:val="20"/>
        </w:rPr>
        <w:t xml:space="preserve">entity’s </w:t>
      </w:r>
      <w:r w:rsidR="001A7EA0" w:rsidRPr="003D2AB7">
        <w:rPr>
          <w:rFonts w:cstheme="minorHAnsi"/>
          <w:sz w:val="20"/>
          <w:szCs w:val="20"/>
        </w:rPr>
        <w:t xml:space="preserve">and outline </w:t>
      </w:r>
      <w:r w:rsidR="00150FEC" w:rsidRPr="003D2AB7">
        <w:rPr>
          <w:rFonts w:cstheme="minorHAnsi"/>
          <w:sz w:val="20"/>
          <w:szCs w:val="20"/>
        </w:rPr>
        <w:t xml:space="preserve">key reporting and governance requirements. </w:t>
      </w:r>
      <w:r w:rsidR="001A7EA0" w:rsidRPr="003D2AB7">
        <w:rPr>
          <w:rFonts w:cstheme="minorHAnsi"/>
          <w:sz w:val="20"/>
          <w:szCs w:val="20"/>
        </w:rPr>
        <w:t xml:space="preserve">Throughout out the IFM project </w:t>
      </w:r>
      <w:r w:rsidR="008E5A7B" w:rsidRPr="003D2AB7">
        <w:rPr>
          <w:rFonts w:cstheme="minorHAnsi"/>
          <w:sz w:val="20"/>
          <w:szCs w:val="20"/>
        </w:rPr>
        <w:t>t</w:t>
      </w:r>
      <w:r w:rsidR="0003201E" w:rsidRPr="003D2AB7">
        <w:rPr>
          <w:rFonts w:cstheme="minorHAnsi"/>
          <w:sz w:val="20"/>
          <w:szCs w:val="20"/>
        </w:rPr>
        <w:t>he WMPA project schedule was regularly updated, through contract variations, to reflect actual project delivery activity.</w:t>
      </w:r>
    </w:p>
    <w:p w14:paraId="1AD2CF40" w14:textId="77777777" w:rsidR="00F97B2D" w:rsidRPr="003D2AB7" w:rsidRDefault="00F97B2D" w:rsidP="003E73C2">
      <w:pPr>
        <w:spacing w:before="120" w:after="120" w:line="240" w:lineRule="auto"/>
        <w:rPr>
          <w:rFonts w:cstheme="minorHAnsi"/>
          <w:sz w:val="20"/>
          <w:szCs w:val="20"/>
        </w:rPr>
      </w:pPr>
      <w:r w:rsidRPr="003D2AB7">
        <w:rPr>
          <w:rFonts w:cstheme="minorHAnsi"/>
          <w:sz w:val="20"/>
          <w:szCs w:val="20"/>
        </w:rPr>
        <w:t>The IFM project</w:t>
      </w:r>
      <w:r w:rsidR="001A7EA0" w:rsidRPr="003D2AB7">
        <w:rPr>
          <w:rFonts w:cstheme="minorHAnsi"/>
          <w:sz w:val="20"/>
          <w:szCs w:val="20"/>
        </w:rPr>
        <w:t>’</w:t>
      </w:r>
      <w:r w:rsidRPr="003D2AB7">
        <w:rPr>
          <w:rFonts w:cstheme="minorHAnsi"/>
          <w:sz w:val="20"/>
          <w:szCs w:val="20"/>
        </w:rPr>
        <w:t xml:space="preserve">s key governance arrangements, roles, objectives, and implementation strategies are defined in the </w:t>
      </w:r>
      <w:r w:rsidR="00544EEB" w:rsidRPr="003D2AB7">
        <w:rPr>
          <w:rFonts w:cstheme="minorHAnsi"/>
          <w:i/>
          <w:sz w:val="20"/>
          <w:szCs w:val="20"/>
        </w:rPr>
        <w:t xml:space="preserve">Irrigated </w:t>
      </w:r>
      <w:r w:rsidRPr="003D2AB7">
        <w:rPr>
          <w:rFonts w:cstheme="minorHAnsi"/>
          <w:i/>
          <w:sz w:val="20"/>
          <w:szCs w:val="20"/>
        </w:rPr>
        <w:t>Farm Modernisation Implementation Plan</w:t>
      </w:r>
      <w:r w:rsidRPr="003D2AB7">
        <w:rPr>
          <w:rFonts w:cstheme="minorHAnsi"/>
          <w:sz w:val="20"/>
          <w:szCs w:val="20"/>
        </w:rPr>
        <w:t xml:space="preserve">. This document was developed in accordance with the WMPA and Intergovernmental Agreement on Murray Darling Basin Reform. It provides </w:t>
      </w:r>
      <w:r w:rsidR="001A7EA0" w:rsidRPr="003D2AB7">
        <w:rPr>
          <w:rFonts w:cstheme="minorHAnsi"/>
          <w:sz w:val="20"/>
          <w:szCs w:val="20"/>
        </w:rPr>
        <w:t xml:space="preserve">a </w:t>
      </w:r>
      <w:r w:rsidRPr="003D2AB7">
        <w:rPr>
          <w:rFonts w:cstheme="minorHAnsi"/>
          <w:sz w:val="20"/>
          <w:szCs w:val="20"/>
        </w:rPr>
        <w:t xml:space="preserve">basis for </w:t>
      </w:r>
      <w:r w:rsidR="001A7EA0" w:rsidRPr="003D2AB7">
        <w:rPr>
          <w:rFonts w:cstheme="minorHAnsi"/>
          <w:sz w:val="20"/>
          <w:szCs w:val="20"/>
        </w:rPr>
        <w:t xml:space="preserve">the </w:t>
      </w:r>
      <w:r w:rsidRPr="003D2AB7">
        <w:rPr>
          <w:rFonts w:cstheme="minorHAnsi"/>
          <w:sz w:val="20"/>
          <w:szCs w:val="20"/>
        </w:rPr>
        <w:t>implementation approach adopted by DPI. During</w:t>
      </w:r>
      <w:r w:rsidR="001A7EA0" w:rsidRPr="003D2AB7">
        <w:rPr>
          <w:rFonts w:cstheme="minorHAnsi"/>
          <w:sz w:val="20"/>
          <w:szCs w:val="20"/>
        </w:rPr>
        <w:t xml:space="preserve"> the delivery of IFM</w:t>
      </w:r>
      <w:r w:rsidR="00AE5B1D" w:rsidRPr="003D2AB7">
        <w:rPr>
          <w:rFonts w:cstheme="minorHAnsi"/>
          <w:sz w:val="20"/>
          <w:szCs w:val="20"/>
        </w:rPr>
        <w:t xml:space="preserve">, aspects of the implementation plan have been adapted </w:t>
      </w:r>
      <w:r w:rsidR="001A7EA0" w:rsidRPr="003D2AB7">
        <w:rPr>
          <w:rFonts w:cstheme="minorHAnsi"/>
          <w:sz w:val="20"/>
          <w:szCs w:val="20"/>
        </w:rPr>
        <w:t xml:space="preserve">and refined </w:t>
      </w:r>
      <w:r w:rsidR="00AE5B1D" w:rsidRPr="003D2AB7">
        <w:rPr>
          <w:rFonts w:cstheme="minorHAnsi"/>
          <w:sz w:val="20"/>
          <w:szCs w:val="20"/>
        </w:rPr>
        <w:t xml:space="preserve">to meet the needs of the project. </w:t>
      </w:r>
    </w:p>
    <w:p w14:paraId="24658E23" w14:textId="77777777" w:rsidR="00AE5B1D" w:rsidRPr="003D2AB7" w:rsidRDefault="00AE5B1D" w:rsidP="0025563C">
      <w:pPr>
        <w:spacing w:before="120" w:after="120" w:line="240" w:lineRule="auto"/>
        <w:rPr>
          <w:rFonts w:cstheme="minorHAnsi"/>
          <w:sz w:val="20"/>
          <w:szCs w:val="20"/>
        </w:rPr>
      </w:pPr>
      <w:r w:rsidRPr="003D2AB7">
        <w:rPr>
          <w:rFonts w:cstheme="minorHAnsi"/>
          <w:sz w:val="20"/>
          <w:szCs w:val="20"/>
        </w:rPr>
        <w:t xml:space="preserve">The IFM project is </w:t>
      </w:r>
      <w:r w:rsidR="0025563C" w:rsidRPr="003D2AB7">
        <w:rPr>
          <w:rFonts w:cstheme="minorHAnsi"/>
          <w:sz w:val="20"/>
          <w:szCs w:val="20"/>
        </w:rPr>
        <w:t xml:space="preserve">led </w:t>
      </w:r>
      <w:r w:rsidRPr="003D2AB7">
        <w:rPr>
          <w:rFonts w:cstheme="minorHAnsi"/>
          <w:sz w:val="20"/>
          <w:szCs w:val="20"/>
        </w:rPr>
        <w:t>by</w:t>
      </w:r>
      <w:r w:rsidR="0025563C" w:rsidRPr="003D2AB7">
        <w:rPr>
          <w:rFonts w:cstheme="minorHAnsi"/>
          <w:sz w:val="20"/>
          <w:szCs w:val="20"/>
        </w:rPr>
        <w:t xml:space="preserve"> the DPI Director Water and Irrigation, supported by the Leader, Sustaining the Basin Irrigated Farm Modernisation (STBIFM) and </w:t>
      </w:r>
      <w:r w:rsidR="001A7EA0" w:rsidRPr="003D2AB7">
        <w:rPr>
          <w:rFonts w:cstheme="minorHAnsi"/>
          <w:sz w:val="20"/>
          <w:szCs w:val="20"/>
        </w:rPr>
        <w:t xml:space="preserve">a </w:t>
      </w:r>
      <w:r w:rsidR="0025563C" w:rsidRPr="003D2AB7">
        <w:rPr>
          <w:rFonts w:cstheme="minorHAnsi"/>
          <w:sz w:val="20"/>
          <w:szCs w:val="20"/>
        </w:rPr>
        <w:t>project team who manage the operational aspects of</w:t>
      </w:r>
      <w:r w:rsidR="001C60C7" w:rsidRPr="003D2AB7">
        <w:rPr>
          <w:rFonts w:cstheme="minorHAnsi"/>
          <w:sz w:val="20"/>
          <w:szCs w:val="20"/>
        </w:rPr>
        <w:t xml:space="preserve"> project</w:t>
      </w:r>
      <w:r w:rsidR="0025563C" w:rsidRPr="003D2AB7">
        <w:rPr>
          <w:rFonts w:cstheme="minorHAnsi"/>
          <w:sz w:val="20"/>
          <w:szCs w:val="20"/>
        </w:rPr>
        <w:t xml:space="preserve"> delivery. </w:t>
      </w:r>
      <w:r w:rsidR="001C60C7" w:rsidRPr="003D2AB7">
        <w:rPr>
          <w:rFonts w:cstheme="minorHAnsi"/>
          <w:sz w:val="20"/>
          <w:szCs w:val="20"/>
        </w:rPr>
        <w:t xml:space="preserve">The project reports to the </w:t>
      </w:r>
      <w:r w:rsidR="0025563C" w:rsidRPr="003D2AB7">
        <w:rPr>
          <w:rFonts w:cstheme="minorHAnsi"/>
          <w:sz w:val="20"/>
          <w:szCs w:val="20"/>
        </w:rPr>
        <w:t>Group Director Plant Systems</w:t>
      </w:r>
      <w:r w:rsidR="00304547" w:rsidRPr="003D2AB7">
        <w:rPr>
          <w:rFonts w:cstheme="minorHAnsi"/>
          <w:sz w:val="20"/>
          <w:szCs w:val="20"/>
        </w:rPr>
        <w:t xml:space="preserve">. </w:t>
      </w:r>
      <w:r w:rsidR="001C60C7" w:rsidRPr="003D2AB7">
        <w:rPr>
          <w:rFonts w:cstheme="minorHAnsi"/>
          <w:sz w:val="20"/>
          <w:szCs w:val="20"/>
        </w:rPr>
        <w:t xml:space="preserve">Key contractual decisions, such as funding approvals, are made by the </w:t>
      </w:r>
      <w:r w:rsidR="001C60C7" w:rsidRPr="003D2AB7">
        <w:rPr>
          <w:rFonts w:cstheme="minorHAnsi"/>
          <w:sz w:val="20"/>
          <w:szCs w:val="20"/>
          <w:lang w:eastAsia="en-AU"/>
        </w:rPr>
        <w:t>Deputy Director General Agriculture</w:t>
      </w:r>
      <w:r w:rsidR="008E5A7B" w:rsidRPr="003D2AB7">
        <w:rPr>
          <w:rFonts w:cstheme="minorHAnsi"/>
          <w:sz w:val="20"/>
          <w:szCs w:val="20"/>
          <w:lang w:eastAsia="en-AU"/>
        </w:rPr>
        <w:t xml:space="preserve"> (up to $500,000) or escalated to an appropriate delegate with the applicable financial delegation</w:t>
      </w:r>
      <w:r w:rsidR="001C60C7" w:rsidRPr="003D2AB7">
        <w:rPr>
          <w:rFonts w:cstheme="minorHAnsi"/>
          <w:sz w:val="20"/>
          <w:szCs w:val="20"/>
          <w:lang w:eastAsia="en-AU"/>
        </w:rPr>
        <w:t xml:space="preserve">. </w:t>
      </w:r>
      <w:r w:rsidR="001C60C7" w:rsidRPr="003D2AB7">
        <w:rPr>
          <w:rFonts w:cstheme="minorHAnsi"/>
          <w:sz w:val="20"/>
          <w:szCs w:val="20"/>
        </w:rPr>
        <w:t xml:space="preserve">KPMG found that key roles and responsibilities were clearly defined, and all staff consulted appeared to have </w:t>
      </w:r>
      <w:r w:rsidR="00254E3A" w:rsidRPr="003D2AB7">
        <w:rPr>
          <w:rFonts w:cstheme="minorHAnsi"/>
          <w:sz w:val="20"/>
          <w:szCs w:val="20"/>
        </w:rPr>
        <w:t xml:space="preserve">a </w:t>
      </w:r>
      <w:r w:rsidR="001C60C7" w:rsidRPr="003D2AB7">
        <w:rPr>
          <w:rFonts w:cstheme="minorHAnsi"/>
          <w:sz w:val="20"/>
          <w:szCs w:val="20"/>
        </w:rPr>
        <w:t>good understanding of their roles and the operation of the IFM project.</w:t>
      </w:r>
    </w:p>
    <w:p w14:paraId="670A9DEB" w14:textId="77777777" w:rsidR="001C60C7" w:rsidRPr="003D2AB7" w:rsidRDefault="001C60C7" w:rsidP="0025563C">
      <w:pPr>
        <w:spacing w:before="120" w:after="120" w:line="240" w:lineRule="auto"/>
        <w:rPr>
          <w:rFonts w:cstheme="minorHAnsi"/>
          <w:sz w:val="20"/>
          <w:szCs w:val="20"/>
        </w:rPr>
      </w:pPr>
      <w:r w:rsidRPr="003D2AB7">
        <w:rPr>
          <w:rFonts w:cstheme="minorHAnsi"/>
          <w:sz w:val="20"/>
          <w:szCs w:val="20"/>
        </w:rPr>
        <w:t>The</w:t>
      </w:r>
      <w:r w:rsidR="00DB5178" w:rsidRPr="003D2AB7">
        <w:rPr>
          <w:rFonts w:cstheme="minorHAnsi"/>
          <w:sz w:val="20"/>
          <w:szCs w:val="20"/>
        </w:rPr>
        <w:t xml:space="preserve"> project’s primary </w:t>
      </w:r>
      <w:r w:rsidRPr="003D2AB7">
        <w:rPr>
          <w:rFonts w:cstheme="minorHAnsi"/>
          <w:sz w:val="20"/>
          <w:szCs w:val="20"/>
        </w:rPr>
        <w:t>governance a</w:t>
      </w:r>
      <w:r w:rsidR="00DB5178" w:rsidRPr="003D2AB7">
        <w:rPr>
          <w:rFonts w:cstheme="minorHAnsi"/>
          <w:sz w:val="20"/>
          <w:szCs w:val="20"/>
        </w:rPr>
        <w:t xml:space="preserve">nd oversight bodies </w:t>
      </w:r>
      <w:r w:rsidR="00254E3A" w:rsidRPr="003D2AB7">
        <w:rPr>
          <w:rFonts w:cstheme="minorHAnsi"/>
          <w:sz w:val="20"/>
          <w:szCs w:val="20"/>
        </w:rPr>
        <w:t>are</w:t>
      </w:r>
      <w:r w:rsidRPr="003D2AB7">
        <w:rPr>
          <w:rFonts w:cstheme="minorHAnsi"/>
          <w:sz w:val="20"/>
          <w:szCs w:val="20"/>
        </w:rPr>
        <w:t xml:space="preserve"> detailed below:</w:t>
      </w:r>
    </w:p>
    <w:p w14:paraId="1D592BF8" w14:textId="2A4B21BF" w:rsidR="00B17AF6" w:rsidRPr="003D2AB7" w:rsidRDefault="00B17AF6" w:rsidP="002E6119">
      <w:pPr>
        <w:pStyle w:val="ListParagraph"/>
        <w:numPr>
          <w:ilvl w:val="0"/>
          <w:numId w:val="15"/>
        </w:numPr>
        <w:spacing w:before="120" w:after="120" w:line="240" w:lineRule="auto"/>
        <w:rPr>
          <w:rFonts w:cstheme="minorHAnsi"/>
          <w:sz w:val="20"/>
          <w:szCs w:val="20"/>
        </w:rPr>
      </w:pPr>
      <w:r w:rsidRPr="003D2AB7">
        <w:rPr>
          <w:rFonts w:cstheme="minorHAnsi"/>
          <w:i/>
          <w:sz w:val="20"/>
          <w:szCs w:val="20"/>
        </w:rPr>
        <w:t>Project Governance Group – NSW State Priority Projects (PGG):</w:t>
      </w:r>
      <w:r w:rsidRPr="003D2AB7">
        <w:rPr>
          <w:rFonts w:cstheme="minorHAnsi"/>
          <w:sz w:val="20"/>
          <w:szCs w:val="20"/>
        </w:rPr>
        <w:t xml:space="preserve"> This is the primary inter-agency forum for the management and monitoring of NSW State Priority Projects. It is intended to provide high level program and project direction and monitor implementation for the suite of NSW state priority projects funded through the Commonwealth, including the IFM project. This quarterly mee</w:t>
      </w:r>
      <w:r w:rsidR="00A95701" w:rsidRPr="003D2AB7">
        <w:rPr>
          <w:rFonts w:cstheme="minorHAnsi"/>
          <w:sz w:val="20"/>
          <w:szCs w:val="20"/>
        </w:rPr>
        <w:t xml:space="preserve">ting is chaired by the Director, </w:t>
      </w:r>
      <w:r w:rsidRPr="003D2AB7">
        <w:rPr>
          <w:rFonts w:cstheme="minorHAnsi"/>
          <w:sz w:val="20"/>
          <w:szCs w:val="20"/>
        </w:rPr>
        <w:t>Programs and Perfor</w:t>
      </w:r>
      <w:r w:rsidR="00A95701" w:rsidRPr="003D2AB7">
        <w:rPr>
          <w:rFonts w:cstheme="minorHAnsi"/>
          <w:sz w:val="20"/>
          <w:szCs w:val="20"/>
        </w:rPr>
        <w:t>mance at Department of Industry</w:t>
      </w:r>
      <w:r w:rsidRPr="003D2AB7">
        <w:rPr>
          <w:rFonts w:cstheme="minorHAnsi"/>
          <w:sz w:val="20"/>
          <w:szCs w:val="20"/>
        </w:rPr>
        <w:t xml:space="preserve"> and consists of representatives from, DAWR, DPI Agriculture and Department of Industry-Water (DoI Water).</w:t>
      </w:r>
    </w:p>
    <w:p w14:paraId="00F89CA5" w14:textId="35F67A92" w:rsidR="001C60C7" w:rsidRPr="003D2AB7" w:rsidRDefault="00C61498" w:rsidP="002E6119">
      <w:pPr>
        <w:pStyle w:val="ListParagraph"/>
        <w:numPr>
          <w:ilvl w:val="0"/>
          <w:numId w:val="15"/>
        </w:numPr>
        <w:autoSpaceDE w:val="0"/>
        <w:autoSpaceDN w:val="0"/>
        <w:adjustRightInd w:val="0"/>
        <w:spacing w:after="0" w:line="240" w:lineRule="auto"/>
        <w:rPr>
          <w:rFonts w:cstheme="minorHAnsi"/>
          <w:sz w:val="20"/>
          <w:szCs w:val="20"/>
        </w:rPr>
      </w:pPr>
      <w:r w:rsidRPr="003D2AB7">
        <w:rPr>
          <w:rFonts w:cstheme="minorHAnsi"/>
          <w:i/>
          <w:sz w:val="20"/>
          <w:szCs w:val="20"/>
        </w:rPr>
        <w:t xml:space="preserve">STBIFM </w:t>
      </w:r>
      <w:r w:rsidR="001C60C7" w:rsidRPr="003D2AB7">
        <w:rPr>
          <w:rFonts w:cstheme="minorHAnsi"/>
          <w:i/>
          <w:sz w:val="20"/>
          <w:szCs w:val="20"/>
        </w:rPr>
        <w:t>Steering Committee</w:t>
      </w:r>
      <w:r w:rsidR="00B17AF6" w:rsidRPr="003D2AB7">
        <w:rPr>
          <w:rFonts w:cstheme="minorHAnsi"/>
          <w:sz w:val="20"/>
          <w:szCs w:val="20"/>
        </w:rPr>
        <w:t xml:space="preserve">: </w:t>
      </w:r>
      <w:r w:rsidRPr="003D2AB7">
        <w:rPr>
          <w:rFonts w:cstheme="minorHAnsi"/>
          <w:sz w:val="20"/>
          <w:szCs w:val="20"/>
        </w:rPr>
        <w:t xml:space="preserve">In accordance with the WMPA project schedule, DPI has established </w:t>
      </w:r>
      <w:r w:rsidR="00DB5178" w:rsidRPr="003D2AB7">
        <w:rPr>
          <w:rFonts w:cstheme="minorHAnsi"/>
          <w:sz w:val="20"/>
          <w:szCs w:val="20"/>
        </w:rPr>
        <w:t>a s</w:t>
      </w:r>
      <w:r w:rsidRPr="003D2AB7">
        <w:rPr>
          <w:rFonts w:cstheme="minorHAnsi"/>
          <w:sz w:val="20"/>
          <w:szCs w:val="20"/>
        </w:rPr>
        <w:t xml:space="preserve">teering </w:t>
      </w:r>
      <w:r w:rsidR="00DB5178" w:rsidRPr="003D2AB7">
        <w:rPr>
          <w:rFonts w:cstheme="minorHAnsi"/>
          <w:sz w:val="20"/>
          <w:szCs w:val="20"/>
        </w:rPr>
        <w:t>c</w:t>
      </w:r>
      <w:r w:rsidRPr="003D2AB7">
        <w:rPr>
          <w:rFonts w:cstheme="minorHAnsi"/>
          <w:sz w:val="20"/>
          <w:szCs w:val="20"/>
        </w:rPr>
        <w:t>ommittee to provide project direction</w:t>
      </w:r>
      <w:r w:rsidR="00DB5178" w:rsidRPr="003D2AB7">
        <w:rPr>
          <w:rFonts w:cstheme="minorHAnsi"/>
          <w:sz w:val="20"/>
          <w:szCs w:val="20"/>
        </w:rPr>
        <w:t xml:space="preserve"> to the project</w:t>
      </w:r>
      <w:r w:rsidRPr="003D2AB7">
        <w:rPr>
          <w:rFonts w:cstheme="minorHAnsi"/>
          <w:sz w:val="20"/>
          <w:szCs w:val="20"/>
        </w:rPr>
        <w:t xml:space="preserve"> and monitor implementation against the project schedule and implementation plan.  The committee is chaired by Group Director, Plant Systems </w:t>
      </w:r>
      <w:r w:rsidR="00DB5178" w:rsidRPr="003D2AB7">
        <w:rPr>
          <w:rFonts w:cstheme="minorHAnsi"/>
          <w:sz w:val="20"/>
          <w:szCs w:val="20"/>
        </w:rPr>
        <w:t xml:space="preserve">and comprises </w:t>
      </w:r>
      <w:r w:rsidR="00254E3A" w:rsidRPr="003D2AB7">
        <w:rPr>
          <w:rFonts w:cstheme="minorHAnsi"/>
          <w:sz w:val="20"/>
          <w:szCs w:val="20"/>
        </w:rPr>
        <w:t xml:space="preserve">of </w:t>
      </w:r>
      <w:r w:rsidR="00DB5178" w:rsidRPr="003D2AB7">
        <w:rPr>
          <w:rFonts w:cstheme="minorHAnsi"/>
          <w:sz w:val="20"/>
          <w:szCs w:val="20"/>
        </w:rPr>
        <w:t xml:space="preserve">representatives from the NSW Government </w:t>
      </w:r>
      <w:r w:rsidR="00254E3A" w:rsidRPr="003D2AB7">
        <w:rPr>
          <w:rFonts w:cstheme="minorHAnsi"/>
          <w:sz w:val="20"/>
          <w:szCs w:val="20"/>
        </w:rPr>
        <w:t>as well as i</w:t>
      </w:r>
      <w:r w:rsidR="00DB5178" w:rsidRPr="003D2AB7">
        <w:rPr>
          <w:rFonts w:cstheme="minorHAnsi"/>
          <w:sz w:val="20"/>
          <w:szCs w:val="20"/>
        </w:rPr>
        <w:t xml:space="preserve">ndependent members. </w:t>
      </w:r>
      <w:r w:rsidR="00254E3A" w:rsidRPr="003D2AB7">
        <w:rPr>
          <w:rFonts w:cstheme="minorHAnsi"/>
          <w:sz w:val="20"/>
          <w:szCs w:val="20"/>
        </w:rPr>
        <w:t xml:space="preserve">DAWR </w:t>
      </w:r>
      <w:r w:rsidR="00DB5178" w:rsidRPr="003D2AB7">
        <w:rPr>
          <w:rFonts w:cstheme="minorHAnsi"/>
          <w:sz w:val="20"/>
          <w:szCs w:val="20"/>
        </w:rPr>
        <w:t xml:space="preserve">is invited to attend the biannual meetings of the committee as an observer. </w:t>
      </w:r>
    </w:p>
    <w:p w14:paraId="5C9E075C" w14:textId="77777777" w:rsidR="00AC45FC" w:rsidRPr="003D2AB7" w:rsidRDefault="00AC45FC" w:rsidP="002E6119">
      <w:pPr>
        <w:pStyle w:val="ListParagraph"/>
        <w:numPr>
          <w:ilvl w:val="0"/>
          <w:numId w:val="15"/>
        </w:numPr>
        <w:autoSpaceDE w:val="0"/>
        <w:autoSpaceDN w:val="0"/>
        <w:adjustRightInd w:val="0"/>
        <w:spacing w:after="0" w:line="240" w:lineRule="auto"/>
        <w:rPr>
          <w:rFonts w:cstheme="minorHAnsi"/>
          <w:sz w:val="20"/>
          <w:szCs w:val="20"/>
        </w:rPr>
      </w:pPr>
      <w:r w:rsidRPr="003D2AB7">
        <w:rPr>
          <w:rFonts w:cstheme="minorHAnsi"/>
          <w:sz w:val="20"/>
          <w:szCs w:val="20"/>
        </w:rPr>
        <w:t>State Priority Projects (SPP) Management Committee: The SPP Management Committee has been established to manage and monitor the progress of all state priority projects coordinated by the NSW Government. The meeting is attended by all project leaders / managers of respective state priority projects and chaired by the SPP Coordinator</w:t>
      </w:r>
      <w:r w:rsidR="00AE5DF1" w:rsidRPr="003D2AB7">
        <w:rPr>
          <w:rFonts w:cstheme="minorHAnsi"/>
          <w:sz w:val="20"/>
          <w:szCs w:val="20"/>
        </w:rPr>
        <w:t xml:space="preserve"> (DoI Director, Water Programs and Performance)</w:t>
      </w:r>
      <w:r w:rsidRPr="003D2AB7">
        <w:rPr>
          <w:rFonts w:cstheme="minorHAnsi"/>
          <w:sz w:val="20"/>
          <w:szCs w:val="20"/>
        </w:rPr>
        <w:t>. The SPP Management Committee meets monthly where each project, including the IFM project, provide formal status updates.</w:t>
      </w:r>
    </w:p>
    <w:p w14:paraId="358D2EB6" w14:textId="772311E5" w:rsidR="001C60C7" w:rsidRPr="003D2AB7" w:rsidRDefault="001C60C7" w:rsidP="002E6119">
      <w:pPr>
        <w:pStyle w:val="ListParagraph"/>
        <w:numPr>
          <w:ilvl w:val="0"/>
          <w:numId w:val="15"/>
        </w:numPr>
        <w:spacing w:before="120" w:after="120" w:line="240" w:lineRule="auto"/>
        <w:rPr>
          <w:rFonts w:cstheme="minorHAnsi"/>
          <w:sz w:val="20"/>
          <w:szCs w:val="20"/>
        </w:rPr>
      </w:pPr>
      <w:r w:rsidRPr="003D2AB7">
        <w:rPr>
          <w:rFonts w:cstheme="minorHAnsi"/>
          <w:i/>
          <w:sz w:val="20"/>
          <w:szCs w:val="20"/>
        </w:rPr>
        <w:t>IFM Project Control Group</w:t>
      </w:r>
      <w:r w:rsidR="00DB5178" w:rsidRPr="003D2AB7">
        <w:rPr>
          <w:rFonts w:cstheme="minorHAnsi"/>
          <w:i/>
          <w:sz w:val="20"/>
          <w:szCs w:val="20"/>
        </w:rPr>
        <w:t xml:space="preserve"> (PCG)</w:t>
      </w:r>
      <w:r w:rsidR="00B17AF6" w:rsidRPr="003D2AB7">
        <w:rPr>
          <w:rFonts w:cstheme="minorHAnsi"/>
          <w:i/>
          <w:sz w:val="20"/>
          <w:szCs w:val="20"/>
        </w:rPr>
        <w:t>:</w:t>
      </w:r>
      <w:r w:rsidR="00DB5178" w:rsidRPr="003D2AB7">
        <w:rPr>
          <w:rFonts w:cstheme="minorHAnsi"/>
          <w:i/>
          <w:sz w:val="20"/>
          <w:szCs w:val="20"/>
        </w:rPr>
        <w:t xml:space="preserve"> </w:t>
      </w:r>
      <w:r w:rsidR="00DB5178" w:rsidRPr="003D2AB7">
        <w:rPr>
          <w:rFonts w:cstheme="minorHAnsi"/>
          <w:sz w:val="20"/>
          <w:szCs w:val="20"/>
        </w:rPr>
        <w:t>The PCG is chaired by the Leader</w:t>
      </w:r>
      <w:r w:rsidR="0026752F" w:rsidRPr="003D2AB7">
        <w:rPr>
          <w:rFonts w:cstheme="minorHAnsi"/>
          <w:sz w:val="20"/>
          <w:szCs w:val="20"/>
        </w:rPr>
        <w:t>,</w:t>
      </w:r>
      <w:r w:rsidR="00DB5178" w:rsidRPr="003D2AB7">
        <w:rPr>
          <w:rFonts w:cstheme="minorHAnsi"/>
          <w:sz w:val="20"/>
          <w:szCs w:val="20"/>
        </w:rPr>
        <w:t xml:space="preserve"> STBIFM</w:t>
      </w:r>
      <w:r w:rsidR="00254E3A" w:rsidRPr="003D2AB7">
        <w:rPr>
          <w:rFonts w:cstheme="minorHAnsi"/>
          <w:sz w:val="20"/>
          <w:szCs w:val="20"/>
        </w:rPr>
        <w:t>,</w:t>
      </w:r>
      <w:r w:rsidR="00DB5178" w:rsidRPr="003D2AB7">
        <w:rPr>
          <w:rFonts w:cstheme="minorHAnsi"/>
          <w:sz w:val="20"/>
          <w:szCs w:val="20"/>
        </w:rPr>
        <w:t xml:space="preserve"> and consists of members of the project team. This group is primarily concerned </w:t>
      </w:r>
      <w:r w:rsidR="00254E3A" w:rsidRPr="003D2AB7">
        <w:rPr>
          <w:rFonts w:cstheme="minorHAnsi"/>
          <w:sz w:val="20"/>
          <w:szCs w:val="20"/>
        </w:rPr>
        <w:t>with</w:t>
      </w:r>
      <w:r w:rsidR="00DB5178" w:rsidRPr="003D2AB7">
        <w:rPr>
          <w:rFonts w:cstheme="minorHAnsi"/>
          <w:sz w:val="20"/>
          <w:szCs w:val="20"/>
        </w:rPr>
        <w:t xml:space="preserve"> operational aspects of the project. The group meets weekly to discuss progress, upcoming milestones</w:t>
      </w:r>
      <w:r w:rsidR="00477BF3" w:rsidRPr="003D2AB7">
        <w:rPr>
          <w:rFonts w:cstheme="minorHAnsi"/>
          <w:sz w:val="20"/>
          <w:szCs w:val="20"/>
        </w:rPr>
        <w:t>,</w:t>
      </w:r>
      <w:r w:rsidR="00DB5178" w:rsidRPr="003D2AB7">
        <w:rPr>
          <w:rFonts w:cstheme="minorHAnsi"/>
          <w:sz w:val="20"/>
          <w:szCs w:val="20"/>
        </w:rPr>
        <w:t xml:space="preserve"> and key risks and issues. </w:t>
      </w:r>
    </w:p>
    <w:p w14:paraId="0445DCB4" w14:textId="77777777" w:rsidR="00DB5178" w:rsidRPr="003D2AB7" w:rsidRDefault="00DB5178" w:rsidP="0025563C">
      <w:pPr>
        <w:spacing w:before="120" w:after="120" w:line="240" w:lineRule="auto"/>
        <w:rPr>
          <w:rFonts w:cstheme="minorHAnsi"/>
          <w:sz w:val="20"/>
          <w:szCs w:val="20"/>
        </w:rPr>
      </w:pPr>
      <w:r w:rsidRPr="003D2AB7">
        <w:rPr>
          <w:rFonts w:cstheme="minorHAnsi"/>
          <w:sz w:val="20"/>
          <w:szCs w:val="20"/>
        </w:rPr>
        <w:t xml:space="preserve">The PGG and STBIFM Steering Committee have defined terms of reference, with all forums having formal agendas and minutes retained.  </w:t>
      </w:r>
    </w:p>
    <w:p w14:paraId="07309E0A" w14:textId="77777777" w:rsidR="00F97B2D" w:rsidRPr="003D2AB7" w:rsidRDefault="00AE5B1D" w:rsidP="00AE5B1D">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Reporting</w:t>
      </w:r>
    </w:p>
    <w:p w14:paraId="6F2BA565" w14:textId="17727C26" w:rsidR="00DF1D02" w:rsidRPr="003D2AB7" w:rsidRDefault="007276D1" w:rsidP="003E73C2">
      <w:pPr>
        <w:spacing w:before="120" w:after="120" w:line="240" w:lineRule="auto"/>
        <w:rPr>
          <w:rFonts w:cstheme="minorHAnsi"/>
          <w:i/>
          <w:sz w:val="20"/>
          <w:szCs w:val="20"/>
        </w:rPr>
      </w:pPr>
      <w:r w:rsidRPr="003D2AB7">
        <w:rPr>
          <w:rFonts w:cstheme="minorHAnsi"/>
          <w:sz w:val="20"/>
          <w:szCs w:val="20"/>
        </w:rPr>
        <w:t xml:space="preserve">In accordance with the WMPA project schedule, </w:t>
      </w:r>
      <w:r w:rsidR="00464C7F" w:rsidRPr="003D2AB7">
        <w:rPr>
          <w:rFonts w:cstheme="minorHAnsi"/>
          <w:sz w:val="20"/>
          <w:szCs w:val="20"/>
        </w:rPr>
        <w:t>DPI provides detailed progress reports to DAWR. The</w:t>
      </w:r>
      <w:r w:rsidR="00396F50" w:rsidRPr="003D2AB7">
        <w:rPr>
          <w:rFonts w:cstheme="minorHAnsi"/>
          <w:sz w:val="20"/>
          <w:szCs w:val="20"/>
        </w:rPr>
        <w:t xml:space="preserve">se are provided in line with milestones outlined in the WMPA project schedule. The reports provide </w:t>
      </w:r>
      <w:r w:rsidR="00111656" w:rsidRPr="003D2AB7">
        <w:rPr>
          <w:rFonts w:cstheme="minorHAnsi"/>
          <w:sz w:val="20"/>
          <w:szCs w:val="20"/>
        </w:rPr>
        <w:t xml:space="preserve">a </w:t>
      </w:r>
      <w:r w:rsidR="00396F50" w:rsidRPr="003D2AB7">
        <w:rPr>
          <w:rFonts w:cstheme="minorHAnsi"/>
          <w:sz w:val="20"/>
          <w:szCs w:val="20"/>
        </w:rPr>
        <w:t>comprehensive description of project progress and performance in various aspects of project delivery</w:t>
      </w:r>
      <w:r w:rsidR="00477BF3" w:rsidRPr="003D2AB7">
        <w:rPr>
          <w:rFonts w:cstheme="minorHAnsi"/>
          <w:sz w:val="20"/>
          <w:szCs w:val="20"/>
        </w:rPr>
        <w:t>,</w:t>
      </w:r>
      <w:r w:rsidR="00396F50" w:rsidRPr="003D2AB7">
        <w:rPr>
          <w:rFonts w:cstheme="minorHAnsi"/>
          <w:sz w:val="20"/>
          <w:szCs w:val="20"/>
        </w:rPr>
        <w:t xml:space="preserve"> including financial management, project management, stakeholder engagement and progress against milestones. These reports are reviewed by the </w:t>
      </w:r>
      <w:r w:rsidR="00396F50" w:rsidRPr="003D2AB7">
        <w:rPr>
          <w:rFonts w:cstheme="minorHAnsi"/>
          <w:i/>
          <w:sz w:val="20"/>
          <w:szCs w:val="20"/>
        </w:rPr>
        <w:t xml:space="preserve">STBIFM Steering Committee prior </w:t>
      </w:r>
      <w:r w:rsidR="00396F50" w:rsidRPr="003D2AB7">
        <w:rPr>
          <w:rFonts w:cstheme="minorHAnsi"/>
          <w:sz w:val="20"/>
          <w:szCs w:val="20"/>
        </w:rPr>
        <w:t>to delivery of the report.</w:t>
      </w:r>
      <w:r w:rsidR="00396F50" w:rsidRPr="003D2AB7">
        <w:rPr>
          <w:rFonts w:cstheme="minorHAnsi"/>
          <w:i/>
          <w:sz w:val="20"/>
          <w:szCs w:val="20"/>
        </w:rPr>
        <w:t xml:space="preserve"> </w:t>
      </w:r>
    </w:p>
    <w:p w14:paraId="787503A2" w14:textId="7F242E61" w:rsidR="0050199E" w:rsidRPr="003D2AB7" w:rsidRDefault="00396F50" w:rsidP="00F74EDA">
      <w:pPr>
        <w:spacing w:before="120" w:after="120" w:line="240" w:lineRule="auto"/>
        <w:rPr>
          <w:rFonts w:cstheme="minorHAnsi"/>
          <w:sz w:val="20"/>
          <w:szCs w:val="20"/>
        </w:rPr>
      </w:pPr>
      <w:r w:rsidRPr="003D2AB7">
        <w:rPr>
          <w:rFonts w:cstheme="minorHAnsi"/>
          <w:sz w:val="20"/>
          <w:szCs w:val="20"/>
        </w:rPr>
        <w:t xml:space="preserve">DPI produce </w:t>
      </w:r>
      <w:r w:rsidR="00AC45FC" w:rsidRPr="003D2AB7">
        <w:rPr>
          <w:rFonts w:cstheme="minorHAnsi"/>
          <w:sz w:val="20"/>
          <w:szCs w:val="20"/>
        </w:rPr>
        <w:t xml:space="preserve">monthly </w:t>
      </w:r>
      <w:r w:rsidRPr="003D2AB7">
        <w:rPr>
          <w:rFonts w:cstheme="minorHAnsi"/>
          <w:sz w:val="20"/>
          <w:szCs w:val="20"/>
        </w:rPr>
        <w:t xml:space="preserve">highlight reports to be presented at </w:t>
      </w:r>
      <w:r w:rsidR="00AC45FC" w:rsidRPr="003D2AB7">
        <w:rPr>
          <w:rFonts w:cstheme="minorHAnsi"/>
          <w:sz w:val="20"/>
          <w:szCs w:val="20"/>
        </w:rPr>
        <w:t>monthly</w:t>
      </w:r>
      <w:r w:rsidRPr="003D2AB7">
        <w:rPr>
          <w:rFonts w:cstheme="minorHAnsi"/>
          <w:sz w:val="20"/>
          <w:szCs w:val="20"/>
        </w:rPr>
        <w:t xml:space="preserve"> </w:t>
      </w:r>
      <w:r w:rsidR="00AC45FC" w:rsidRPr="003D2AB7">
        <w:rPr>
          <w:rFonts w:cstheme="minorHAnsi"/>
          <w:sz w:val="20"/>
          <w:szCs w:val="20"/>
        </w:rPr>
        <w:t>SPP Management Committee</w:t>
      </w:r>
      <w:r w:rsidRPr="003D2AB7">
        <w:rPr>
          <w:rFonts w:cstheme="minorHAnsi"/>
          <w:sz w:val="20"/>
          <w:szCs w:val="20"/>
        </w:rPr>
        <w:t xml:space="preserve"> meetings. </w:t>
      </w:r>
      <w:r w:rsidR="00254E3A" w:rsidRPr="003D2AB7">
        <w:rPr>
          <w:rFonts w:cstheme="minorHAnsi"/>
          <w:sz w:val="20"/>
          <w:szCs w:val="20"/>
        </w:rPr>
        <w:t xml:space="preserve">These </w:t>
      </w:r>
      <w:r w:rsidRPr="003D2AB7">
        <w:rPr>
          <w:rFonts w:cstheme="minorHAnsi"/>
          <w:sz w:val="20"/>
          <w:szCs w:val="20"/>
        </w:rPr>
        <w:t>provide a brief description of project progress as well as highlights an</w:t>
      </w:r>
      <w:r w:rsidR="001A6459" w:rsidRPr="003D2AB7">
        <w:rPr>
          <w:rFonts w:cstheme="minorHAnsi"/>
          <w:sz w:val="20"/>
          <w:szCs w:val="20"/>
        </w:rPr>
        <w:t>y</w:t>
      </w:r>
      <w:r w:rsidRPr="003D2AB7">
        <w:rPr>
          <w:rFonts w:cstheme="minorHAnsi"/>
          <w:sz w:val="20"/>
          <w:szCs w:val="20"/>
        </w:rPr>
        <w:t xml:space="preserve"> key risks and issues to be considered. These reports are reviewed and cleared by the Director</w:t>
      </w:r>
      <w:r w:rsidR="00254E3A" w:rsidRPr="003D2AB7">
        <w:rPr>
          <w:rFonts w:cstheme="minorHAnsi"/>
          <w:sz w:val="20"/>
          <w:szCs w:val="20"/>
        </w:rPr>
        <w:t>,</w:t>
      </w:r>
      <w:r w:rsidRPr="003D2AB7">
        <w:rPr>
          <w:rFonts w:cstheme="minorHAnsi"/>
          <w:sz w:val="20"/>
          <w:szCs w:val="20"/>
        </w:rPr>
        <w:t xml:space="preserve"> Water and Irrigation.</w:t>
      </w:r>
      <w:r w:rsidR="00AC45FC" w:rsidRPr="003D2AB7">
        <w:rPr>
          <w:rFonts w:cstheme="minorHAnsi"/>
          <w:sz w:val="20"/>
          <w:szCs w:val="20"/>
        </w:rPr>
        <w:t xml:space="preserve"> These </w:t>
      </w:r>
      <w:r w:rsidR="00111656" w:rsidRPr="003D2AB7">
        <w:rPr>
          <w:rFonts w:cstheme="minorHAnsi"/>
          <w:sz w:val="20"/>
          <w:szCs w:val="20"/>
        </w:rPr>
        <w:t xml:space="preserve">reports </w:t>
      </w:r>
      <w:r w:rsidR="00AC45FC" w:rsidRPr="003D2AB7">
        <w:rPr>
          <w:rFonts w:cstheme="minorHAnsi"/>
          <w:sz w:val="20"/>
          <w:szCs w:val="20"/>
        </w:rPr>
        <w:t>are also presented at quarterly PGG meetings.</w:t>
      </w:r>
      <w:r w:rsidRPr="003D2AB7">
        <w:rPr>
          <w:rFonts w:cstheme="minorHAnsi"/>
          <w:sz w:val="20"/>
          <w:szCs w:val="20"/>
        </w:rPr>
        <w:t xml:space="preserve"> In addition, monthly </w:t>
      </w:r>
      <w:r w:rsidR="00B72DA5" w:rsidRPr="003D2AB7">
        <w:rPr>
          <w:rFonts w:cstheme="minorHAnsi"/>
          <w:sz w:val="20"/>
          <w:szCs w:val="20"/>
        </w:rPr>
        <w:t xml:space="preserve">project </w:t>
      </w:r>
      <w:r w:rsidRPr="003D2AB7">
        <w:rPr>
          <w:rFonts w:cstheme="minorHAnsi"/>
          <w:sz w:val="20"/>
          <w:szCs w:val="20"/>
        </w:rPr>
        <w:t>meeting</w:t>
      </w:r>
      <w:r w:rsidR="00B72DA5" w:rsidRPr="003D2AB7">
        <w:rPr>
          <w:rFonts w:cstheme="minorHAnsi"/>
          <w:sz w:val="20"/>
          <w:szCs w:val="20"/>
        </w:rPr>
        <w:t>s</w:t>
      </w:r>
      <w:r w:rsidRPr="003D2AB7">
        <w:rPr>
          <w:rFonts w:cstheme="minorHAnsi"/>
          <w:sz w:val="20"/>
          <w:szCs w:val="20"/>
        </w:rPr>
        <w:t xml:space="preserve"> are held with </w:t>
      </w:r>
      <w:r w:rsidR="00111656" w:rsidRPr="003D2AB7">
        <w:rPr>
          <w:rFonts w:cstheme="minorHAnsi"/>
          <w:sz w:val="20"/>
          <w:szCs w:val="20"/>
        </w:rPr>
        <w:t xml:space="preserve">the </w:t>
      </w:r>
      <w:r w:rsidR="00B72DA5" w:rsidRPr="003D2AB7">
        <w:rPr>
          <w:rFonts w:cstheme="minorHAnsi"/>
          <w:sz w:val="20"/>
          <w:szCs w:val="20"/>
        </w:rPr>
        <w:t>Leader, STBIFM and Director</w:t>
      </w:r>
      <w:r w:rsidR="0026752F" w:rsidRPr="003D2AB7">
        <w:rPr>
          <w:rFonts w:cstheme="minorHAnsi"/>
          <w:sz w:val="20"/>
          <w:szCs w:val="20"/>
        </w:rPr>
        <w:t>,</w:t>
      </w:r>
      <w:r w:rsidR="00B72DA5" w:rsidRPr="003D2AB7">
        <w:rPr>
          <w:rFonts w:cstheme="minorHAnsi"/>
          <w:sz w:val="20"/>
          <w:szCs w:val="20"/>
        </w:rPr>
        <w:t xml:space="preserve"> Water and Irrigation to discuss progress and emerging risks and issues to be reported to the Executive. </w:t>
      </w:r>
      <w:r w:rsidR="000A332C" w:rsidRPr="003D2AB7">
        <w:rPr>
          <w:rFonts w:cstheme="minorHAnsi"/>
          <w:sz w:val="20"/>
          <w:szCs w:val="20"/>
        </w:rPr>
        <w:t>DPI also produce a weekly advisory report where emerging issues or urgent notifications can be brought to the DPI executive quickly.</w:t>
      </w:r>
    </w:p>
    <w:p w14:paraId="3C194614" w14:textId="77777777" w:rsidR="003E73C2" w:rsidRPr="003D2AB7" w:rsidRDefault="00B72DA5" w:rsidP="00F74EDA">
      <w:pPr>
        <w:spacing w:before="120" w:after="120" w:line="240" w:lineRule="auto"/>
        <w:rPr>
          <w:rFonts w:cstheme="minorHAnsi"/>
          <w:sz w:val="20"/>
          <w:szCs w:val="20"/>
        </w:rPr>
      </w:pPr>
      <w:r w:rsidRPr="003D2AB7">
        <w:rPr>
          <w:rFonts w:cstheme="minorHAnsi"/>
          <w:sz w:val="20"/>
          <w:szCs w:val="20"/>
        </w:rPr>
        <w:t>All governance and reporting arrangements appeared to be operating as intended</w:t>
      </w:r>
      <w:r w:rsidR="00254E3A" w:rsidRPr="003D2AB7">
        <w:rPr>
          <w:rFonts w:cstheme="minorHAnsi"/>
          <w:sz w:val="20"/>
          <w:szCs w:val="20"/>
        </w:rPr>
        <w:t xml:space="preserve"> and no instances of </w:t>
      </w:r>
      <w:r w:rsidR="003E73C2" w:rsidRPr="003D2AB7">
        <w:rPr>
          <w:rFonts w:cstheme="minorHAnsi"/>
          <w:sz w:val="20"/>
          <w:szCs w:val="20"/>
        </w:rPr>
        <w:t xml:space="preserve">non-compliance or significant control weaknesses </w:t>
      </w:r>
      <w:r w:rsidRPr="003D2AB7">
        <w:rPr>
          <w:rFonts w:cstheme="minorHAnsi"/>
          <w:sz w:val="20"/>
          <w:szCs w:val="20"/>
        </w:rPr>
        <w:t>were identified</w:t>
      </w:r>
      <w:r w:rsidR="003E73C2" w:rsidRPr="003D2AB7">
        <w:rPr>
          <w:rFonts w:cstheme="minorHAnsi"/>
          <w:sz w:val="20"/>
          <w:szCs w:val="20"/>
        </w:rPr>
        <w:t>.</w:t>
      </w:r>
    </w:p>
    <w:p w14:paraId="30A23A38" w14:textId="77777777" w:rsidR="00BB52E9" w:rsidRPr="003D2AB7" w:rsidRDefault="00BB52E9" w:rsidP="00BB52E9">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Evaluation </w:t>
      </w:r>
    </w:p>
    <w:p w14:paraId="5AA03EB9" w14:textId="77777777" w:rsidR="00BB52E9" w:rsidRPr="003D2AB7" w:rsidRDefault="00BB52E9" w:rsidP="00BB52E9">
      <w:pPr>
        <w:spacing w:before="120" w:after="120" w:line="240" w:lineRule="auto"/>
        <w:rPr>
          <w:rFonts w:cstheme="minorHAnsi"/>
          <w:sz w:val="20"/>
          <w:szCs w:val="20"/>
        </w:rPr>
      </w:pPr>
      <w:r w:rsidRPr="003D2AB7">
        <w:rPr>
          <w:rFonts w:cstheme="minorHAnsi"/>
          <w:sz w:val="20"/>
          <w:szCs w:val="20"/>
        </w:rPr>
        <w:t xml:space="preserve">DPI have established mechanisms to assist with </w:t>
      </w:r>
      <w:r w:rsidR="00111656" w:rsidRPr="003D2AB7">
        <w:rPr>
          <w:rFonts w:cstheme="minorHAnsi"/>
          <w:sz w:val="20"/>
          <w:szCs w:val="20"/>
        </w:rPr>
        <w:t xml:space="preserve">the </w:t>
      </w:r>
      <w:r w:rsidRPr="003D2AB7">
        <w:rPr>
          <w:rFonts w:cstheme="minorHAnsi"/>
          <w:sz w:val="20"/>
          <w:szCs w:val="20"/>
        </w:rPr>
        <w:t xml:space="preserve">evaluation and ongoing monitoring of the IFM project outcomes and overall success. In 2012, DPI implemented a Monitoring Evaluation Reporting and Improvement (MERI) Plan, this plan was reviewed and updated in 2015 </w:t>
      </w:r>
      <w:r w:rsidR="00C71E86" w:rsidRPr="003D2AB7">
        <w:rPr>
          <w:rFonts w:cstheme="minorHAnsi"/>
          <w:sz w:val="20"/>
          <w:szCs w:val="20"/>
        </w:rPr>
        <w:t>and replaced with a</w:t>
      </w:r>
      <w:r w:rsidRPr="003D2AB7">
        <w:rPr>
          <w:rFonts w:cstheme="minorHAnsi"/>
          <w:sz w:val="20"/>
          <w:szCs w:val="20"/>
        </w:rPr>
        <w:t xml:space="preserve"> MERI </w:t>
      </w:r>
      <w:r w:rsidR="00C71E86" w:rsidRPr="003D2AB7">
        <w:rPr>
          <w:rFonts w:cstheme="minorHAnsi"/>
          <w:sz w:val="20"/>
          <w:szCs w:val="20"/>
        </w:rPr>
        <w:t>S</w:t>
      </w:r>
      <w:r w:rsidRPr="003D2AB7">
        <w:rPr>
          <w:rFonts w:cstheme="minorHAnsi"/>
          <w:sz w:val="20"/>
          <w:szCs w:val="20"/>
        </w:rPr>
        <w:t xml:space="preserve">trategy to ensure activities were relevant, timely and addressed the information needs of stakeholders. The aim of the MERI </w:t>
      </w:r>
      <w:r w:rsidR="00C71E86" w:rsidRPr="003D2AB7">
        <w:rPr>
          <w:rFonts w:cstheme="minorHAnsi"/>
          <w:sz w:val="20"/>
          <w:szCs w:val="20"/>
        </w:rPr>
        <w:t>S</w:t>
      </w:r>
      <w:r w:rsidRPr="003D2AB7">
        <w:rPr>
          <w:rFonts w:cstheme="minorHAnsi"/>
          <w:sz w:val="20"/>
          <w:szCs w:val="20"/>
        </w:rPr>
        <w:t xml:space="preserve">trategy is to provide a consistent approach to measuring, monitoring, evaluating and reporting performance against </w:t>
      </w:r>
      <w:r w:rsidR="009F452D" w:rsidRPr="003D2AB7">
        <w:rPr>
          <w:rFonts w:cstheme="minorHAnsi"/>
          <w:sz w:val="20"/>
          <w:szCs w:val="20"/>
        </w:rPr>
        <w:t>project</w:t>
      </w:r>
      <w:r w:rsidRPr="003D2AB7">
        <w:rPr>
          <w:rFonts w:cstheme="minorHAnsi"/>
          <w:sz w:val="20"/>
          <w:szCs w:val="20"/>
        </w:rPr>
        <w:t xml:space="preserve"> outcomes. The MERI </w:t>
      </w:r>
      <w:r w:rsidR="00C71E86" w:rsidRPr="003D2AB7">
        <w:rPr>
          <w:rFonts w:cstheme="minorHAnsi"/>
          <w:sz w:val="20"/>
          <w:szCs w:val="20"/>
        </w:rPr>
        <w:t>S</w:t>
      </w:r>
      <w:r w:rsidRPr="003D2AB7">
        <w:rPr>
          <w:rFonts w:cstheme="minorHAnsi"/>
          <w:sz w:val="20"/>
          <w:szCs w:val="20"/>
        </w:rPr>
        <w:t xml:space="preserve">trategy is supported by an IFM program logic and a MERI data schedule. The establishment of the MERI process demonstrates DPI’s commitment to continuous improvement and is linked to the final </w:t>
      </w:r>
      <w:r w:rsidR="009F452D" w:rsidRPr="003D2AB7">
        <w:rPr>
          <w:rFonts w:cstheme="minorHAnsi"/>
          <w:sz w:val="20"/>
          <w:szCs w:val="20"/>
        </w:rPr>
        <w:t>project</w:t>
      </w:r>
      <w:r w:rsidRPr="003D2AB7">
        <w:rPr>
          <w:rFonts w:cstheme="minorHAnsi"/>
          <w:sz w:val="20"/>
          <w:szCs w:val="20"/>
        </w:rPr>
        <w:t xml:space="preserve"> reporting requirements, noting KPMG did not test the operating effectiveness or implementation of this process.</w:t>
      </w:r>
    </w:p>
    <w:p w14:paraId="50932AE1" w14:textId="77777777" w:rsidR="003E345A" w:rsidRPr="003D2AB7" w:rsidRDefault="005B2E4E" w:rsidP="00BB52E9">
      <w:pPr>
        <w:pStyle w:val="Heading2"/>
        <w:rPr>
          <w:rFonts w:asciiTheme="minorHAnsi" w:hAnsiTheme="minorHAnsi" w:cstheme="minorHAnsi"/>
        </w:rPr>
      </w:pPr>
      <w:bookmarkStart w:id="18" w:name="_Toc532474952"/>
      <w:r w:rsidRPr="003D2AB7">
        <w:rPr>
          <w:rFonts w:asciiTheme="minorHAnsi" w:hAnsiTheme="minorHAnsi" w:cstheme="minorHAnsi"/>
        </w:rPr>
        <w:t>Assessment of applications</w:t>
      </w:r>
      <w:bookmarkEnd w:id="18"/>
    </w:p>
    <w:p w14:paraId="38E0D441" w14:textId="77777777" w:rsidR="00871FD3" w:rsidRPr="003D2AB7" w:rsidRDefault="00145E33" w:rsidP="00F74EDA">
      <w:pPr>
        <w:keepNext/>
        <w:keepLines/>
        <w:shd w:val="clear" w:color="auto" w:fill="E7E6E6" w:themeFill="background2"/>
        <w:rPr>
          <w:rFonts w:cstheme="minorHAnsi"/>
          <w:i/>
          <w:sz w:val="20"/>
          <w:szCs w:val="20"/>
        </w:rPr>
      </w:pPr>
      <w:r w:rsidRPr="003D2AB7">
        <w:rPr>
          <w:rFonts w:cstheme="minorHAnsi"/>
          <w:i/>
          <w:sz w:val="20"/>
          <w:szCs w:val="20"/>
        </w:rPr>
        <w:t>DPI has a well-defined and robust application assessment process</w:t>
      </w:r>
      <w:r w:rsidR="00474DAB" w:rsidRPr="003D2AB7">
        <w:rPr>
          <w:rFonts w:cstheme="minorHAnsi"/>
          <w:i/>
          <w:sz w:val="20"/>
          <w:szCs w:val="20"/>
        </w:rPr>
        <w:t xml:space="preserve">. </w:t>
      </w:r>
      <w:r w:rsidRPr="003D2AB7">
        <w:rPr>
          <w:rFonts w:cstheme="minorHAnsi"/>
          <w:i/>
          <w:sz w:val="20"/>
          <w:szCs w:val="20"/>
        </w:rPr>
        <w:t>Multiple</w:t>
      </w:r>
      <w:r w:rsidR="00474DAB" w:rsidRPr="003D2AB7">
        <w:rPr>
          <w:rFonts w:cstheme="minorHAnsi"/>
          <w:i/>
          <w:sz w:val="20"/>
          <w:szCs w:val="20"/>
        </w:rPr>
        <w:t xml:space="preserve"> </w:t>
      </w:r>
      <w:r w:rsidR="00126D9D" w:rsidRPr="003D2AB7">
        <w:rPr>
          <w:rFonts w:cstheme="minorHAnsi"/>
          <w:i/>
          <w:sz w:val="20"/>
          <w:szCs w:val="20"/>
        </w:rPr>
        <w:t xml:space="preserve">controls and processes </w:t>
      </w:r>
      <w:r w:rsidR="00244305" w:rsidRPr="003D2AB7">
        <w:rPr>
          <w:rFonts w:cstheme="minorHAnsi"/>
          <w:i/>
          <w:sz w:val="20"/>
          <w:szCs w:val="20"/>
        </w:rPr>
        <w:t>exist and are designed</w:t>
      </w:r>
      <w:r w:rsidR="00126D9D" w:rsidRPr="003D2AB7">
        <w:rPr>
          <w:rFonts w:cstheme="minorHAnsi"/>
          <w:i/>
          <w:sz w:val="20"/>
          <w:szCs w:val="20"/>
        </w:rPr>
        <w:t xml:space="preserve"> to support </w:t>
      </w:r>
      <w:r w:rsidR="00474DAB" w:rsidRPr="003D2AB7">
        <w:rPr>
          <w:rFonts w:cstheme="minorHAnsi"/>
          <w:i/>
          <w:sz w:val="20"/>
          <w:szCs w:val="20"/>
        </w:rPr>
        <w:t xml:space="preserve">transparent and accountable decision making. </w:t>
      </w:r>
    </w:p>
    <w:p w14:paraId="243B8547" w14:textId="2BE11F59" w:rsidR="00145E33" w:rsidRPr="003D2AB7" w:rsidRDefault="003B60FE" w:rsidP="00F74EDA">
      <w:pPr>
        <w:spacing w:before="120" w:after="120" w:line="240" w:lineRule="auto"/>
        <w:rPr>
          <w:rFonts w:cstheme="minorHAnsi"/>
          <w:sz w:val="20"/>
          <w:szCs w:val="20"/>
        </w:rPr>
      </w:pPr>
      <w:r w:rsidRPr="003D2AB7">
        <w:rPr>
          <w:rFonts w:cstheme="minorHAnsi"/>
          <w:sz w:val="20"/>
          <w:szCs w:val="20"/>
        </w:rPr>
        <w:t xml:space="preserve">Eligible irrigators may voluntarily submit applications for funding during defined funding rounds. The project funding available for any round is dependent on participation </w:t>
      </w:r>
      <w:r w:rsidR="00244305" w:rsidRPr="003D2AB7">
        <w:rPr>
          <w:rFonts w:cstheme="minorHAnsi"/>
          <w:sz w:val="20"/>
          <w:szCs w:val="20"/>
        </w:rPr>
        <w:t xml:space="preserve">i.e. </w:t>
      </w:r>
      <w:r w:rsidRPr="003D2AB7">
        <w:rPr>
          <w:rFonts w:cstheme="minorHAnsi"/>
          <w:sz w:val="20"/>
          <w:szCs w:val="20"/>
        </w:rPr>
        <w:t xml:space="preserve">no guarantee of funding is provided. </w:t>
      </w:r>
      <w:r w:rsidR="00145E33" w:rsidRPr="003D2AB7">
        <w:rPr>
          <w:rFonts w:cstheme="minorHAnsi"/>
          <w:sz w:val="20"/>
          <w:szCs w:val="20"/>
        </w:rPr>
        <w:t xml:space="preserve">DPI </w:t>
      </w:r>
      <w:r w:rsidRPr="003D2AB7">
        <w:rPr>
          <w:rFonts w:cstheme="minorHAnsi"/>
          <w:sz w:val="20"/>
          <w:szCs w:val="20"/>
        </w:rPr>
        <w:t>is</w:t>
      </w:r>
      <w:r w:rsidR="00871FD3" w:rsidRPr="003D2AB7">
        <w:rPr>
          <w:rFonts w:cstheme="minorHAnsi"/>
          <w:sz w:val="20"/>
          <w:szCs w:val="20"/>
        </w:rPr>
        <w:t xml:space="preserve"> responsible for assessing</w:t>
      </w:r>
      <w:r w:rsidR="00145E33" w:rsidRPr="003D2AB7">
        <w:rPr>
          <w:rFonts w:cstheme="minorHAnsi"/>
          <w:sz w:val="20"/>
          <w:szCs w:val="20"/>
        </w:rPr>
        <w:t xml:space="preserve"> IFWUEAs and infrastructure </w:t>
      </w:r>
      <w:r w:rsidR="00871FD3" w:rsidRPr="003D2AB7">
        <w:rPr>
          <w:rFonts w:cstheme="minorHAnsi"/>
          <w:sz w:val="20"/>
          <w:szCs w:val="20"/>
        </w:rPr>
        <w:t>a</w:t>
      </w:r>
      <w:r w:rsidR="00145E33" w:rsidRPr="003D2AB7">
        <w:rPr>
          <w:rFonts w:cstheme="minorHAnsi"/>
          <w:sz w:val="20"/>
          <w:szCs w:val="20"/>
        </w:rPr>
        <w:t>pplications</w:t>
      </w:r>
      <w:r w:rsidR="00244305" w:rsidRPr="003D2AB7">
        <w:rPr>
          <w:rFonts w:cstheme="minorHAnsi"/>
          <w:sz w:val="20"/>
          <w:szCs w:val="20"/>
        </w:rPr>
        <w:t>,</w:t>
      </w:r>
      <w:r w:rsidR="00145E33" w:rsidRPr="003D2AB7">
        <w:rPr>
          <w:rFonts w:cstheme="minorHAnsi"/>
          <w:sz w:val="20"/>
          <w:szCs w:val="20"/>
        </w:rPr>
        <w:t xml:space="preserve"> as well as</w:t>
      </w:r>
      <w:r w:rsidR="00244305" w:rsidRPr="003D2AB7">
        <w:rPr>
          <w:rFonts w:cstheme="minorHAnsi"/>
          <w:sz w:val="20"/>
          <w:szCs w:val="20"/>
        </w:rPr>
        <w:t>,</w:t>
      </w:r>
      <w:r w:rsidR="00145E33" w:rsidRPr="003D2AB7">
        <w:rPr>
          <w:rFonts w:cstheme="minorHAnsi"/>
          <w:sz w:val="20"/>
          <w:szCs w:val="20"/>
        </w:rPr>
        <w:t xml:space="preserve"> approving applications for funding</w:t>
      </w:r>
      <w:r w:rsidR="00871FD3" w:rsidRPr="003D2AB7">
        <w:rPr>
          <w:rFonts w:cstheme="minorHAnsi"/>
          <w:sz w:val="20"/>
          <w:szCs w:val="20"/>
        </w:rPr>
        <w:t xml:space="preserve">. </w:t>
      </w:r>
      <w:r w:rsidR="00145E33" w:rsidRPr="003D2AB7">
        <w:rPr>
          <w:rFonts w:cstheme="minorHAnsi"/>
          <w:sz w:val="20"/>
          <w:szCs w:val="20"/>
        </w:rPr>
        <w:t xml:space="preserve">There is no requirement for DAWR </w:t>
      </w:r>
      <w:r w:rsidR="00111656" w:rsidRPr="003D2AB7">
        <w:rPr>
          <w:rFonts w:cstheme="minorHAnsi"/>
          <w:sz w:val="20"/>
          <w:szCs w:val="20"/>
        </w:rPr>
        <w:t xml:space="preserve">to </w:t>
      </w:r>
      <w:r w:rsidR="00244305" w:rsidRPr="003D2AB7">
        <w:rPr>
          <w:rFonts w:cstheme="minorHAnsi"/>
          <w:sz w:val="20"/>
          <w:szCs w:val="20"/>
        </w:rPr>
        <w:t xml:space="preserve">approve or endorse </w:t>
      </w:r>
      <w:r w:rsidR="003571EF" w:rsidRPr="003D2AB7">
        <w:rPr>
          <w:rFonts w:cstheme="minorHAnsi"/>
          <w:sz w:val="20"/>
          <w:szCs w:val="20"/>
        </w:rPr>
        <w:t xml:space="preserve">proponent </w:t>
      </w:r>
      <w:r w:rsidR="00145E33" w:rsidRPr="003D2AB7">
        <w:rPr>
          <w:rFonts w:cstheme="minorHAnsi"/>
          <w:sz w:val="20"/>
          <w:szCs w:val="20"/>
        </w:rPr>
        <w:t xml:space="preserve">funding, however </w:t>
      </w:r>
      <w:r w:rsidR="00244305" w:rsidRPr="003D2AB7">
        <w:rPr>
          <w:rFonts w:cstheme="minorHAnsi"/>
          <w:sz w:val="20"/>
          <w:szCs w:val="20"/>
        </w:rPr>
        <w:t>they are</w:t>
      </w:r>
      <w:r w:rsidR="00145E33" w:rsidRPr="003D2AB7">
        <w:rPr>
          <w:rFonts w:cstheme="minorHAnsi"/>
          <w:sz w:val="20"/>
          <w:szCs w:val="20"/>
        </w:rPr>
        <w:t xml:space="preserve"> provided </w:t>
      </w:r>
      <w:r w:rsidR="00244305" w:rsidRPr="003D2AB7">
        <w:rPr>
          <w:rFonts w:cstheme="minorHAnsi"/>
          <w:sz w:val="20"/>
          <w:szCs w:val="20"/>
        </w:rPr>
        <w:t xml:space="preserve">with </w:t>
      </w:r>
      <w:r w:rsidR="00145E33" w:rsidRPr="003D2AB7">
        <w:rPr>
          <w:rFonts w:cstheme="minorHAnsi"/>
          <w:sz w:val="20"/>
          <w:szCs w:val="20"/>
        </w:rPr>
        <w:t xml:space="preserve">a description of the </w:t>
      </w:r>
      <w:r w:rsidR="00244305" w:rsidRPr="003D2AB7">
        <w:rPr>
          <w:rFonts w:cstheme="minorHAnsi"/>
          <w:sz w:val="20"/>
          <w:szCs w:val="20"/>
        </w:rPr>
        <w:t xml:space="preserve">assessment </w:t>
      </w:r>
      <w:r w:rsidR="00145E33" w:rsidRPr="003D2AB7">
        <w:rPr>
          <w:rFonts w:cstheme="minorHAnsi"/>
          <w:sz w:val="20"/>
          <w:szCs w:val="20"/>
        </w:rPr>
        <w:t>processes and controls as part of milestone progress reports</w:t>
      </w:r>
      <w:r w:rsidR="003571EF" w:rsidRPr="003D2AB7">
        <w:rPr>
          <w:rFonts w:cstheme="minorHAnsi"/>
          <w:sz w:val="20"/>
          <w:szCs w:val="20"/>
        </w:rPr>
        <w:t xml:space="preserve">. </w:t>
      </w:r>
    </w:p>
    <w:p w14:paraId="1A74A918" w14:textId="6859E791" w:rsidR="003D44CA" w:rsidRPr="003D2AB7" w:rsidRDefault="003D44CA" w:rsidP="003D44CA">
      <w:pPr>
        <w:spacing w:before="120" w:after="120" w:line="240" w:lineRule="auto"/>
        <w:rPr>
          <w:rFonts w:cstheme="minorHAnsi"/>
          <w:sz w:val="20"/>
          <w:szCs w:val="20"/>
        </w:rPr>
      </w:pPr>
      <w:r w:rsidRPr="003D2AB7">
        <w:rPr>
          <w:rFonts w:cstheme="minorHAnsi"/>
          <w:sz w:val="20"/>
          <w:szCs w:val="20"/>
        </w:rPr>
        <w:t xml:space="preserve">Key </w:t>
      </w:r>
      <w:r w:rsidR="000A5FFF" w:rsidRPr="003D2AB7">
        <w:rPr>
          <w:rFonts w:cstheme="minorHAnsi"/>
          <w:sz w:val="20"/>
          <w:szCs w:val="20"/>
        </w:rPr>
        <w:t xml:space="preserve">application </w:t>
      </w:r>
      <w:r w:rsidRPr="003D2AB7">
        <w:rPr>
          <w:rFonts w:cstheme="minorHAnsi"/>
          <w:sz w:val="20"/>
          <w:szCs w:val="20"/>
        </w:rPr>
        <w:t>assessment process and controls implemented by DPI include:</w:t>
      </w:r>
    </w:p>
    <w:p w14:paraId="0887CF52" w14:textId="6EA4D812" w:rsidR="003D44CA" w:rsidRPr="003D2AB7" w:rsidRDefault="000A5FFF" w:rsidP="002E6119">
      <w:pPr>
        <w:pStyle w:val="ListParagraph"/>
        <w:numPr>
          <w:ilvl w:val="0"/>
          <w:numId w:val="6"/>
        </w:numPr>
        <w:spacing w:before="120" w:after="120"/>
        <w:rPr>
          <w:rFonts w:cstheme="minorHAnsi"/>
          <w:sz w:val="20"/>
          <w:szCs w:val="20"/>
        </w:rPr>
      </w:pPr>
      <w:r w:rsidRPr="003D2AB7">
        <w:rPr>
          <w:rFonts w:cstheme="minorHAnsi"/>
          <w:sz w:val="20"/>
          <w:szCs w:val="20"/>
        </w:rPr>
        <w:t>V</w:t>
      </w:r>
      <w:r w:rsidR="003D44CA" w:rsidRPr="003D2AB7">
        <w:rPr>
          <w:rFonts w:cstheme="minorHAnsi"/>
          <w:sz w:val="20"/>
          <w:szCs w:val="20"/>
        </w:rPr>
        <w:t>erification of IFWUEA</w:t>
      </w:r>
      <w:r w:rsidRPr="003D2AB7">
        <w:rPr>
          <w:rFonts w:cstheme="minorHAnsi"/>
          <w:sz w:val="20"/>
          <w:szCs w:val="20"/>
        </w:rPr>
        <w:t xml:space="preserve">s by a </w:t>
      </w:r>
      <w:r w:rsidR="003D44CA" w:rsidRPr="003D2AB7">
        <w:rPr>
          <w:rFonts w:cstheme="minorHAnsi"/>
          <w:sz w:val="20"/>
          <w:szCs w:val="20"/>
        </w:rPr>
        <w:t xml:space="preserve">panel </w:t>
      </w:r>
      <w:r w:rsidRPr="003D2AB7">
        <w:rPr>
          <w:rFonts w:cstheme="minorHAnsi"/>
          <w:sz w:val="20"/>
          <w:szCs w:val="20"/>
        </w:rPr>
        <w:t>consisting</w:t>
      </w:r>
      <w:r w:rsidR="003D44CA" w:rsidRPr="003D2AB7">
        <w:rPr>
          <w:rFonts w:cstheme="minorHAnsi"/>
          <w:sz w:val="20"/>
          <w:szCs w:val="20"/>
        </w:rPr>
        <w:t xml:space="preserve"> of a DPI staff </w:t>
      </w:r>
      <w:r w:rsidR="00544EEB" w:rsidRPr="003D2AB7">
        <w:rPr>
          <w:rFonts w:cstheme="minorHAnsi"/>
          <w:sz w:val="20"/>
          <w:szCs w:val="20"/>
        </w:rPr>
        <w:t xml:space="preserve">member </w:t>
      </w:r>
      <w:r w:rsidR="003D44CA" w:rsidRPr="003D2AB7">
        <w:rPr>
          <w:rFonts w:cstheme="minorHAnsi"/>
          <w:sz w:val="20"/>
          <w:szCs w:val="20"/>
        </w:rPr>
        <w:t>external to the IFM project and</w:t>
      </w:r>
      <w:r w:rsidR="00544EEB" w:rsidRPr="003D2AB7">
        <w:rPr>
          <w:rFonts w:cstheme="minorHAnsi"/>
          <w:sz w:val="20"/>
          <w:szCs w:val="20"/>
        </w:rPr>
        <w:t xml:space="preserve"> an</w:t>
      </w:r>
      <w:r w:rsidR="003D44CA" w:rsidRPr="003D2AB7">
        <w:rPr>
          <w:rFonts w:cstheme="minorHAnsi"/>
          <w:sz w:val="20"/>
          <w:szCs w:val="20"/>
        </w:rPr>
        <w:t xml:space="preserve"> </w:t>
      </w:r>
      <w:r w:rsidR="00544EEB" w:rsidRPr="003D2AB7">
        <w:rPr>
          <w:rFonts w:cstheme="minorHAnsi"/>
          <w:sz w:val="20"/>
          <w:szCs w:val="20"/>
        </w:rPr>
        <w:t xml:space="preserve">external </w:t>
      </w:r>
      <w:r w:rsidR="003D44CA" w:rsidRPr="003D2AB7">
        <w:rPr>
          <w:rFonts w:cstheme="minorHAnsi"/>
          <w:sz w:val="20"/>
          <w:szCs w:val="20"/>
        </w:rPr>
        <w:t>independent expert.  IFWUEAs must</w:t>
      </w:r>
      <w:r w:rsidRPr="003D2AB7">
        <w:rPr>
          <w:rFonts w:cstheme="minorHAnsi"/>
          <w:sz w:val="20"/>
          <w:szCs w:val="20"/>
        </w:rPr>
        <w:t xml:space="preserve"> also</w:t>
      </w:r>
      <w:r w:rsidR="003D44CA" w:rsidRPr="003D2AB7">
        <w:rPr>
          <w:rFonts w:cstheme="minorHAnsi"/>
          <w:sz w:val="20"/>
          <w:szCs w:val="20"/>
        </w:rPr>
        <w:t xml:space="preserve"> be </w:t>
      </w:r>
      <w:r w:rsidR="0026752F" w:rsidRPr="003D2AB7">
        <w:rPr>
          <w:rFonts w:cstheme="minorHAnsi"/>
          <w:sz w:val="20"/>
          <w:szCs w:val="20"/>
        </w:rPr>
        <w:t xml:space="preserve">certified by an </w:t>
      </w:r>
      <w:r w:rsidR="003D44CA" w:rsidRPr="003D2AB7">
        <w:rPr>
          <w:rFonts w:cstheme="minorHAnsi"/>
          <w:sz w:val="20"/>
          <w:szCs w:val="20"/>
        </w:rPr>
        <w:t>appropriately accredited</w:t>
      </w:r>
      <w:r w:rsidR="00314AD5" w:rsidRPr="003D2AB7">
        <w:rPr>
          <w:rFonts w:cstheme="minorHAnsi"/>
          <w:sz w:val="20"/>
          <w:szCs w:val="20"/>
        </w:rPr>
        <w:t xml:space="preserve"> </w:t>
      </w:r>
      <w:r w:rsidR="003D44CA" w:rsidRPr="003D2AB7">
        <w:rPr>
          <w:rFonts w:cstheme="minorHAnsi"/>
          <w:sz w:val="20"/>
          <w:szCs w:val="20"/>
        </w:rPr>
        <w:t>consultant.</w:t>
      </w:r>
    </w:p>
    <w:p w14:paraId="5D2928D8" w14:textId="77777777" w:rsidR="003D44CA" w:rsidRPr="003D2AB7" w:rsidRDefault="000A5FFF" w:rsidP="002E6119">
      <w:pPr>
        <w:pStyle w:val="ListParagraph"/>
        <w:numPr>
          <w:ilvl w:val="0"/>
          <w:numId w:val="6"/>
        </w:numPr>
        <w:spacing w:before="120" w:after="120"/>
        <w:rPr>
          <w:rFonts w:cstheme="minorHAnsi"/>
          <w:sz w:val="20"/>
          <w:szCs w:val="20"/>
        </w:rPr>
      </w:pPr>
      <w:r w:rsidRPr="003D2AB7">
        <w:rPr>
          <w:rFonts w:cstheme="minorHAnsi"/>
          <w:sz w:val="20"/>
          <w:szCs w:val="20"/>
        </w:rPr>
        <w:t xml:space="preserve">Initial completeness and minimum eligibility checks of infrastructure applications </w:t>
      </w:r>
      <w:r w:rsidR="00244305" w:rsidRPr="003D2AB7">
        <w:rPr>
          <w:rFonts w:cstheme="minorHAnsi"/>
          <w:sz w:val="20"/>
          <w:szCs w:val="20"/>
        </w:rPr>
        <w:t xml:space="preserve">are conducted </w:t>
      </w:r>
      <w:r w:rsidRPr="003D2AB7">
        <w:rPr>
          <w:rFonts w:cstheme="minorHAnsi"/>
          <w:sz w:val="20"/>
          <w:szCs w:val="20"/>
        </w:rPr>
        <w:t xml:space="preserve">by an Opening Committee comprising </w:t>
      </w:r>
      <w:r w:rsidR="00244305" w:rsidRPr="003D2AB7">
        <w:rPr>
          <w:rFonts w:cstheme="minorHAnsi"/>
          <w:sz w:val="20"/>
          <w:szCs w:val="20"/>
        </w:rPr>
        <w:t xml:space="preserve">of </w:t>
      </w:r>
      <w:r w:rsidRPr="003D2AB7">
        <w:rPr>
          <w:rFonts w:cstheme="minorHAnsi"/>
          <w:sz w:val="20"/>
          <w:szCs w:val="20"/>
        </w:rPr>
        <w:t>project staff.</w:t>
      </w:r>
    </w:p>
    <w:p w14:paraId="0F10DF2E" w14:textId="7AB0C07F" w:rsidR="000A5FFF" w:rsidRPr="003D2AB7" w:rsidRDefault="000A5FFF" w:rsidP="002E6119">
      <w:pPr>
        <w:pStyle w:val="ListParagraph"/>
        <w:numPr>
          <w:ilvl w:val="0"/>
          <w:numId w:val="6"/>
        </w:numPr>
        <w:spacing w:before="120" w:after="120"/>
        <w:rPr>
          <w:rFonts w:cstheme="minorHAnsi"/>
          <w:sz w:val="20"/>
          <w:szCs w:val="20"/>
        </w:rPr>
      </w:pPr>
      <w:r w:rsidRPr="003D2AB7">
        <w:rPr>
          <w:rFonts w:cstheme="minorHAnsi"/>
          <w:sz w:val="20"/>
          <w:szCs w:val="20"/>
        </w:rPr>
        <w:t>Technical feasibility and costing assessment</w:t>
      </w:r>
      <w:r w:rsidR="00B547F6" w:rsidRPr="003D2AB7">
        <w:rPr>
          <w:rFonts w:cstheme="minorHAnsi"/>
          <w:sz w:val="20"/>
          <w:szCs w:val="20"/>
        </w:rPr>
        <w:t xml:space="preserve"> </w:t>
      </w:r>
      <w:r w:rsidR="00244305" w:rsidRPr="003D2AB7">
        <w:rPr>
          <w:rFonts w:cstheme="minorHAnsi"/>
          <w:sz w:val="20"/>
          <w:szCs w:val="20"/>
        </w:rPr>
        <w:t xml:space="preserve">is undertaken </w:t>
      </w:r>
      <w:r w:rsidR="00B547F6" w:rsidRPr="003D2AB7">
        <w:rPr>
          <w:rFonts w:cstheme="minorHAnsi"/>
          <w:sz w:val="20"/>
          <w:szCs w:val="20"/>
        </w:rPr>
        <w:t xml:space="preserve">by the Technical and Costings </w:t>
      </w:r>
      <w:r w:rsidRPr="003D2AB7">
        <w:rPr>
          <w:rFonts w:cstheme="minorHAnsi"/>
          <w:sz w:val="20"/>
          <w:szCs w:val="20"/>
        </w:rPr>
        <w:t>Committee</w:t>
      </w:r>
      <w:r w:rsidR="00F3276E" w:rsidRPr="003D2AB7">
        <w:rPr>
          <w:rFonts w:cstheme="minorHAnsi"/>
          <w:sz w:val="20"/>
          <w:szCs w:val="20"/>
        </w:rPr>
        <w:t xml:space="preserve"> (TCC)</w:t>
      </w:r>
      <w:r w:rsidR="00244305" w:rsidRPr="003D2AB7">
        <w:rPr>
          <w:rFonts w:cstheme="minorHAnsi"/>
          <w:sz w:val="20"/>
          <w:szCs w:val="20"/>
        </w:rPr>
        <w:t>, consisting of</w:t>
      </w:r>
      <w:r w:rsidRPr="003D2AB7">
        <w:rPr>
          <w:rFonts w:cstheme="minorHAnsi"/>
          <w:sz w:val="20"/>
          <w:szCs w:val="20"/>
        </w:rPr>
        <w:t xml:space="preserve"> three independent irrigation industry professionals and chaired by the Leader, STBIFM.</w:t>
      </w:r>
    </w:p>
    <w:p w14:paraId="154EB317" w14:textId="69D5CDA8" w:rsidR="000A5FFF" w:rsidRPr="003D2AB7" w:rsidRDefault="000A5FFF" w:rsidP="002E6119">
      <w:pPr>
        <w:pStyle w:val="ListParagraph"/>
        <w:numPr>
          <w:ilvl w:val="0"/>
          <w:numId w:val="6"/>
        </w:numPr>
        <w:spacing w:before="120" w:after="120" w:line="240" w:lineRule="auto"/>
        <w:rPr>
          <w:rFonts w:cstheme="minorHAnsi"/>
          <w:sz w:val="20"/>
          <w:szCs w:val="20"/>
        </w:rPr>
      </w:pPr>
      <w:r w:rsidRPr="003D2AB7">
        <w:rPr>
          <w:rFonts w:cstheme="minorHAnsi"/>
          <w:sz w:val="20"/>
          <w:szCs w:val="20"/>
        </w:rPr>
        <w:t xml:space="preserve">Value for money assessment of eligible applications </w:t>
      </w:r>
      <w:r w:rsidR="00244305" w:rsidRPr="003D2AB7">
        <w:rPr>
          <w:rFonts w:cstheme="minorHAnsi"/>
          <w:sz w:val="20"/>
          <w:szCs w:val="20"/>
        </w:rPr>
        <w:t xml:space="preserve">conducted by </w:t>
      </w:r>
      <w:r w:rsidRPr="003D2AB7">
        <w:rPr>
          <w:rFonts w:cstheme="minorHAnsi"/>
          <w:sz w:val="20"/>
          <w:szCs w:val="20"/>
        </w:rPr>
        <w:t xml:space="preserve">an independent Investment Panel prior to final funding recommendations. </w:t>
      </w:r>
      <w:r w:rsidR="009F452D" w:rsidRPr="003D2AB7">
        <w:rPr>
          <w:rFonts w:cstheme="minorHAnsi"/>
          <w:sz w:val="20"/>
          <w:szCs w:val="20"/>
        </w:rPr>
        <w:t>The Investment Panel consist</w:t>
      </w:r>
      <w:r w:rsidR="00544EEB" w:rsidRPr="003D2AB7">
        <w:rPr>
          <w:rFonts w:cstheme="minorHAnsi"/>
          <w:sz w:val="20"/>
          <w:szCs w:val="20"/>
        </w:rPr>
        <w:t>s</w:t>
      </w:r>
      <w:r w:rsidR="009F452D" w:rsidRPr="003D2AB7">
        <w:rPr>
          <w:rFonts w:cstheme="minorHAnsi"/>
          <w:sz w:val="20"/>
          <w:szCs w:val="20"/>
        </w:rPr>
        <w:t xml:space="preserve"> of two </w:t>
      </w:r>
      <w:r w:rsidR="00544EEB" w:rsidRPr="003D2AB7">
        <w:rPr>
          <w:rFonts w:cstheme="minorHAnsi"/>
          <w:sz w:val="20"/>
          <w:szCs w:val="20"/>
        </w:rPr>
        <w:t>independent</w:t>
      </w:r>
      <w:r w:rsidR="009F452D" w:rsidRPr="003D2AB7">
        <w:rPr>
          <w:rFonts w:cstheme="minorHAnsi"/>
          <w:sz w:val="20"/>
          <w:szCs w:val="20"/>
        </w:rPr>
        <w:t xml:space="preserve"> panel members, an external probity advisor and </w:t>
      </w:r>
      <w:r w:rsidR="00544EEB" w:rsidRPr="003D2AB7">
        <w:rPr>
          <w:rFonts w:cstheme="minorHAnsi"/>
          <w:sz w:val="20"/>
          <w:szCs w:val="20"/>
        </w:rPr>
        <w:t xml:space="preserve">is </w:t>
      </w:r>
      <w:r w:rsidR="009F452D" w:rsidRPr="003D2AB7">
        <w:rPr>
          <w:rFonts w:cstheme="minorHAnsi"/>
          <w:sz w:val="20"/>
          <w:szCs w:val="20"/>
        </w:rPr>
        <w:t>chaired by a DPI staff member external to the IFM project with relevant skills in the development and implementation of market</w:t>
      </w:r>
      <w:r w:rsidR="00314AD5" w:rsidRPr="003D2AB7">
        <w:rPr>
          <w:rFonts w:cstheme="minorHAnsi"/>
          <w:sz w:val="20"/>
          <w:szCs w:val="20"/>
        </w:rPr>
        <w:t>-</w:t>
      </w:r>
      <w:r w:rsidR="009F452D" w:rsidRPr="003D2AB7">
        <w:rPr>
          <w:rFonts w:cstheme="minorHAnsi"/>
          <w:sz w:val="20"/>
          <w:szCs w:val="20"/>
        </w:rPr>
        <w:t>based instruments.</w:t>
      </w:r>
    </w:p>
    <w:p w14:paraId="073948DC" w14:textId="050D322A" w:rsidR="000A5FFF" w:rsidRPr="003D2AB7" w:rsidRDefault="000A5FFF" w:rsidP="00B30BAF">
      <w:pPr>
        <w:rPr>
          <w:rFonts w:cstheme="minorHAnsi"/>
          <w:sz w:val="20"/>
          <w:szCs w:val="20"/>
        </w:rPr>
      </w:pPr>
      <w:r w:rsidRPr="003D2AB7">
        <w:rPr>
          <w:rFonts w:cstheme="minorHAnsi"/>
          <w:sz w:val="20"/>
          <w:szCs w:val="20"/>
        </w:rPr>
        <w:t xml:space="preserve">In addition to the above, DPI have a defined appeals </w:t>
      </w:r>
      <w:r w:rsidR="00244305" w:rsidRPr="003D2AB7">
        <w:rPr>
          <w:rFonts w:cstheme="minorHAnsi"/>
          <w:sz w:val="20"/>
          <w:szCs w:val="20"/>
        </w:rPr>
        <w:t xml:space="preserve">process </w:t>
      </w:r>
      <w:r w:rsidRPr="003D2AB7">
        <w:rPr>
          <w:rFonts w:cstheme="minorHAnsi"/>
          <w:sz w:val="20"/>
          <w:szCs w:val="20"/>
        </w:rPr>
        <w:t xml:space="preserve">should unsuccessful applicants </w:t>
      </w:r>
      <w:r w:rsidR="00244305" w:rsidRPr="003D2AB7">
        <w:rPr>
          <w:rFonts w:cstheme="minorHAnsi"/>
          <w:sz w:val="20"/>
          <w:szCs w:val="20"/>
        </w:rPr>
        <w:t xml:space="preserve">seek </w:t>
      </w:r>
      <w:r w:rsidRPr="003D2AB7">
        <w:rPr>
          <w:rFonts w:cstheme="minorHAnsi"/>
          <w:sz w:val="20"/>
          <w:szCs w:val="20"/>
        </w:rPr>
        <w:t>to challenge decisions made.</w:t>
      </w:r>
      <w:r w:rsidR="00757114" w:rsidRPr="003D2AB7">
        <w:rPr>
          <w:rFonts w:cstheme="minorHAnsi"/>
          <w:sz w:val="20"/>
          <w:szCs w:val="20"/>
        </w:rPr>
        <w:t xml:space="preserve"> This involves a review of all documentation and decisions by an Independent Appeals Panel. </w:t>
      </w:r>
    </w:p>
    <w:p w14:paraId="3BACC8AF" w14:textId="77777777" w:rsidR="000A5FFF" w:rsidRPr="003D2AB7" w:rsidRDefault="000A5FFF" w:rsidP="00B30BAF">
      <w:pPr>
        <w:rPr>
          <w:rFonts w:cstheme="minorHAnsi"/>
          <w:sz w:val="20"/>
          <w:szCs w:val="20"/>
        </w:rPr>
      </w:pPr>
      <w:r w:rsidRPr="003D2AB7">
        <w:rPr>
          <w:rFonts w:cstheme="minorHAnsi"/>
          <w:sz w:val="20"/>
          <w:szCs w:val="20"/>
        </w:rPr>
        <w:t>To support the above mentioned processes</w:t>
      </w:r>
      <w:r w:rsidR="00244305" w:rsidRPr="003D2AB7">
        <w:rPr>
          <w:rFonts w:cstheme="minorHAnsi"/>
          <w:sz w:val="20"/>
          <w:szCs w:val="20"/>
        </w:rPr>
        <w:t xml:space="preserve"> and provide staff with consistency and guidance</w:t>
      </w:r>
      <w:r w:rsidRPr="003D2AB7">
        <w:rPr>
          <w:rFonts w:cstheme="minorHAnsi"/>
          <w:sz w:val="20"/>
          <w:szCs w:val="20"/>
        </w:rPr>
        <w:t>, DPI have developed standard operating procedure</w:t>
      </w:r>
      <w:r w:rsidR="00111656" w:rsidRPr="003D2AB7">
        <w:rPr>
          <w:rFonts w:cstheme="minorHAnsi"/>
          <w:sz w:val="20"/>
          <w:szCs w:val="20"/>
        </w:rPr>
        <w:t>s</w:t>
      </w:r>
      <w:r w:rsidRPr="003D2AB7">
        <w:rPr>
          <w:rFonts w:cstheme="minorHAnsi"/>
          <w:sz w:val="20"/>
          <w:szCs w:val="20"/>
        </w:rPr>
        <w:t xml:space="preserve">, tools and templates for all key elements of the assessment process. </w:t>
      </w:r>
      <w:r w:rsidR="00244305" w:rsidRPr="003D2AB7">
        <w:rPr>
          <w:rFonts w:cstheme="minorHAnsi"/>
          <w:sz w:val="20"/>
          <w:szCs w:val="20"/>
        </w:rPr>
        <w:t xml:space="preserve">It appears this material is </w:t>
      </w:r>
      <w:r w:rsidRPr="003D2AB7">
        <w:rPr>
          <w:rFonts w:cstheme="minorHAnsi"/>
          <w:sz w:val="20"/>
          <w:szCs w:val="20"/>
        </w:rPr>
        <w:t xml:space="preserve">regularly reviewed and updated to reflect any changes. </w:t>
      </w:r>
    </w:p>
    <w:p w14:paraId="6E9BB438" w14:textId="77777777" w:rsidR="00B30BAF" w:rsidRPr="003D2AB7" w:rsidRDefault="00B30BAF" w:rsidP="00B30BAF">
      <w:pPr>
        <w:rPr>
          <w:rFonts w:cstheme="minorHAnsi"/>
          <w:sz w:val="20"/>
          <w:szCs w:val="20"/>
        </w:rPr>
      </w:pPr>
      <w:r w:rsidRPr="003D2AB7">
        <w:rPr>
          <w:rFonts w:cstheme="minorHAnsi"/>
          <w:sz w:val="20"/>
          <w:szCs w:val="20"/>
        </w:rPr>
        <w:t>DPI</w:t>
      </w:r>
      <w:r w:rsidR="003D44CA" w:rsidRPr="003D2AB7">
        <w:rPr>
          <w:rFonts w:cstheme="minorHAnsi"/>
          <w:sz w:val="20"/>
          <w:szCs w:val="20"/>
        </w:rPr>
        <w:t xml:space="preserve"> also </w:t>
      </w:r>
      <w:r w:rsidRPr="003D2AB7">
        <w:rPr>
          <w:rFonts w:cstheme="minorHAnsi"/>
          <w:sz w:val="20"/>
          <w:szCs w:val="20"/>
        </w:rPr>
        <w:t xml:space="preserve">develop and </w:t>
      </w:r>
      <w:r w:rsidR="003D44CA" w:rsidRPr="003D2AB7">
        <w:rPr>
          <w:rFonts w:cstheme="minorHAnsi"/>
          <w:sz w:val="20"/>
          <w:szCs w:val="20"/>
        </w:rPr>
        <w:t xml:space="preserve">publicly </w:t>
      </w:r>
      <w:r w:rsidRPr="003D2AB7">
        <w:rPr>
          <w:rFonts w:cstheme="minorHAnsi"/>
          <w:sz w:val="20"/>
          <w:szCs w:val="20"/>
        </w:rPr>
        <w:t xml:space="preserve">release funding guidelines for each funding round, </w:t>
      </w:r>
      <w:r w:rsidR="00244305" w:rsidRPr="003D2AB7">
        <w:rPr>
          <w:rFonts w:cstheme="minorHAnsi"/>
          <w:sz w:val="20"/>
          <w:szCs w:val="20"/>
        </w:rPr>
        <w:t xml:space="preserve">which detail </w:t>
      </w:r>
      <w:r w:rsidRPr="003D2AB7">
        <w:rPr>
          <w:rFonts w:cstheme="minorHAnsi"/>
          <w:sz w:val="20"/>
          <w:szCs w:val="20"/>
        </w:rPr>
        <w:t>the funding components, eligibility criteria and application process</w:t>
      </w:r>
      <w:r w:rsidR="00757114" w:rsidRPr="003D2AB7">
        <w:rPr>
          <w:rFonts w:cstheme="minorHAnsi"/>
          <w:sz w:val="20"/>
          <w:szCs w:val="20"/>
        </w:rPr>
        <w:t xml:space="preserve"> for prospective applicants</w:t>
      </w:r>
      <w:r w:rsidRPr="003D2AB7">
        <w:rPr>
          <w:rFonts w:cstheme="minorHAnsi"/>
          <w:sz w:val="20"/>
          <w:szCs w:val="20"/>
        </w:rPr>
        <w:t xml:space="preserve">. </w:t>
      </w:r>
      <w:r w:rsidR="008E5A7B" w:rsidRPr="003D2AB7">
        <w:rPr>
          <w:rFonts w:cstheme="minorHAnsi"/>
          <w:sz w:val="20"/>
          <w:szCs w:val="20"/>
        </w:rPr>
        <w:t>DPI have established a process to ensure t</w:t>
      </w:r>
      <w:r w:rsidRPr="003D2AB7">
        <w:rPr>
          <w:rFonts w:cstheme="minorHAnsi"/>
          <w:sz w:val="20"/>
          <w:szCs w:val="20"/>
        </w:rPr>
        <w:t xml:space="preserve">hese are reviewed and updated prior to the </w:t>
      </w:r>
      <w:r w:rsidR="00244305" w:rsidRPr="003D2AB7">
        <w:rPr>
          <w:rFonts w:cstheme="minorHAnsi"/>
          <w:sz w:val="20"/>
          <w:szCs w:val="20"/>
        </w:rPr>
        <w:t xml:space="preserve">commencement </w:t>
      </w:r>
      <w:r w:rsidRPr="003D2AB7">
        <w:rPr>
          <w:rFonts w:cstheme="minorHAnsi"/>
          <w:sz w:val="20"/>
          <w:szCs w:val="20"/>
        </w:rPr>
        <w:t xml:space="preserve">of </w:t>
      </w:r>
      <w:r w:rsidR="00244305" w:rsidRPr="003D2AB7">
        <w:rPr>
          <w:rFonts w:cstheme="minorHAnsi"/>
          <w:sz w:val="20"/>
          <w:szCs w:val="20"/>
        </w:rPr>
        <w:t xml:space="preserve">each </w:t>
      </w:r>
      <w:r w:rsidR="008E5A7B" w:rsidRPr="003D2AB7">
        <w:rPr>
          <w:rFonts w:cstheme="minorHAnsi"/>
          <w:sz w:val="20"/>
          <w:szCs w:val="20"/>
        </w:rPr>
        <w:t>funding round</w:t>
      </w:r>
      <w:r w:rsidR="009F452D" w:rsidRPr="003D2AB7">
        <w:rPr>
          <w:rFonts w:cstheme="minorHAnsi"/>
          <w:sz w:val="20"/>
          <w:szCs w:val="20"/>
        </w:rPr>
        <w:t>, this includes a review by an external probity advisor</w:t>
      </w:r>
      <w:r w:rsidRPr="003D2AB7">
        <w:rPr>
          <w:rFonts w:cstheme="minorHAnsi"/>
          <w:sz w:val="20"/>
          <w:szCs w:val="20"/>
        </w:rPr>
        <w:t xml:space="preserve">. </w:t>
      </w:r>
    </w:p>
    <w:p w14:paraId="665DAF98" w14:textId="77777777" w:rsidR="003E73C2" w:rsidRPr="003D2AB7" w:rsidRDefault="00757114" w:rsidP="00F74EDA">
      <w:pPr>
        <w:pStyle w:val="BodyText"/>
        <w:spacing w:before="120" w:after="120" w:line="240" w:lineRule="auto"/>
        <w:rPr>
          <w:rFonts w:asciiTheme="minorHAnsi" w:hAnsiTheme="minorHAnsi" w:cstheme="minorHAnsi"/>
          <w:sz w:val="20"/>
        </w:rPr>
      </w:pPr>
      <w:r w:rsidRPr="003D2AB7">
        <w:rPr>
          <w:rFonts w:asciiTheme="minorHAnsi" w:hAnsiTheme="minorHAnsi" w:cstheme="minorHAnsi"/>
          <w:sz w:val="20"/>
        </w:rPr>
        <w:t xml:space="preserve">Review </w:t>
      </w:r>
      <w:r w:rsidR="00244305" w:rsidRPr="003D2AB7">
        <w:rPr>
          <w:rFonts w:asciiTheme="minorHAnsi" w:hAnsiTheme="minorHAnsi" w:cstheme="minorHAnsi"/>
          <w:sz w:val="20"/>
        </w:rPr>
        <w:t xml:space="preserve">of </w:t>
      </w:r>
      <w:r w:rsidRPr="003D2AB7">
        <w:rPr>
          <w:rFonts w:asciiTheme="minorHAnsi" w:hAnsiTheme="minorHAnsi" w:cstheme="minorHAnsi"/>
          <w:sz w:val="20"/>
        </w:rPr>
        <w:t>documentation and s</w:t>
      </w:r>
      <w:r w:rsidR="000A5FFF" w:rsidRPr="003D2AB7">
        <w:rPr>
          <w:rFonts w:asciiTheme="minorHAnsi" w:hAnsiTheme="minorHAnsi" w:cstheme="minorHAnsi"/>
          <w:sz w:val="20"/>
        </w:rPr>
        <w:t xml:space="preserve">ample testing </w:t>
      </w:r>
      <w:r w:rsidR="003E73C2" w:rsidRPr="003D2AB7">
        <w:rPr>
          <w:rFonts w:asciiTheme="minorHAnsi" w:hAnsiTheme="minorHAnsi" w:cstheme="minorHAnsi"/>
          <w:sz w:val="20"/>
        </w:rPr>
        <w:t>did not identify any non-compliance or significant control weaknesses related</w:t>
      </w:r>
      <w:r w:rsidR="008774A5" w:rsidRPr="003D2AB7">
        <w:rPr>
          <w:rFonts w:asciiTheme="minorHAnsi" w:hAnsiTheme="minorHAnsi" w:cstheme="minorHAnsi"/>
          <w:sz w:val="20"/>
        </w:rPr>
        <w:t xml:space="preserve"> </w:t>
      </w:r>
      <w:r w:rsidR="002F7F17" w:rsidRPr="003D2AB7">
        <w:rPr>
          <w:rFonts w:asciiTheme="minorHAnsi" w:hAnsiTheme="minorHAnsi" w:cstheme="minorHAnsi"/>
          <w:sz w:val="20"/>
        </w:rPr>
        <w:t xml:space="preserve">to </w:t>
      </w:r>
      <w:r w:rsidR="008774A5" w:rsidRPr="003D2AB7">
        <w:rPr>
          <w:rFonts w:asciiTheme="minorHAnsi" w:hAnsiTheme="minorHAnsi" w:cstheme="minorHAnsi"/>
          <w:sz w:val="20"/>
        </w:rPr>
        <w:t>the</w:t>
      </w:r>
      <w:r w:rsidR="003E73C2" w:rsidRPr="003D2AB7">
        <w:rPr>
          <w:rFonts w:asciiTheme="minorHAnsi" w:hAnsiTheme="minorHAnsi" w:cstheme="minorHAnsi"/>
          <w:sz w:val="20"/>
        </w:rPr>
        <w:t xml:space="preserve"> application assessment</w:t>
      </w:r>
      <w:r w:rsidR="008774A5" w:rsidRPr="003D2AB7">
        <w:rPr>
          <w:rFonts w:asciiTheme="minorHAnsi" w:hAnsiTheme="minorHAnsi" w:cstheme="minorHAnsi"/>
          <w:sz w:val="20"/>
        </w:rPr>
        <w:t xml:space="preserve"> process</w:t>
      </w:r>
      <w:r w:rsidR="000A5FFF" w:rsidRPr="003D2AB7">
        <w:rPr>
          <w:rFonts w:asciiTheme="minorHAnsi" w:hAnsiTheme="minorHAnsi" w:cstheme="minorHAnsi"/>
          <w:sz w:val="20"/>
        </w:rPr>
        <w:t>es</w:t>
      </w:r>
      <w:r w:rsidR="003E73C2" w:rsidRPr="003D2AB7">
        <w:rPr>
          <w:rFonts w:asciiTheme="minorHAnsi" w:hAnsiTheme="minorHAnsi" w:cstheme="minorHAnsi"/>
          <w:sz w:val="20"/>
        </w:rPr>
        <w:t>.</w:t>
      </w:r>
    </w:p>
    <w:p w14:paraId="33263FBF" w14:textId="77777777" w:rsidR="003E345A" w:rsidRPr="003D2AB7" w:rsidRDefault="003E345A" w:rsidP="00BB52E9">
      <w:pPr>
        <w:pStyle w:val="Heading2"/>
        <w:rPr>
          <w:rFonts w:asciiTheme="minorHAnsi" w:hAnsiTheme="minorHAnsi" w:cstheme="minorHAnsi"/>
        </w:rPr>
      </w:pPr>
      <w:bookmarkStart w:id="19" w:name="_Toc532474953"/>
      <w:r w:rsidRPr="003D2AB7">
        <w:rPr>
          <w:rFonts w:asciiTheme="minorHAnsi" w:hAnsiTheme="minorHAnsi" w:cstheme="minorHAnsi"/>
        </w:rPr>
        <w:t>Risk and issue management</w:t>
      </w:r>
      <w:bookmarkEnd w:id="19"/>
      <w:r w:rsidRPr="003D2AB7">
        <w:rPr>
          <w:rFonts w:asciiTheme="minorHAnsi" w:hAnsiTheme="minorHAnsi" w:cstheme="minorHAnsi"/>
        </w:rPr>
        <w:t xml:space="preserve"> </w:t>
      </w:r>
    </w:p>
    <w:p w14:paraId="5D6860F2" w14:textId="77777777" w:rsidR="00066B61" w:rsidRPr="003D2AB7" w:rsidRDefault="00321140" w:rsidP="00F74EDA">
      <w:pPr>
        <w:shd w:val="clear" w:color="auto" w:fill="E7E6E6" w:themeFill="background2"/>
        <w:spacing w:before="120" w:after="120" w:line="240" w:lineRule="auto"/>
        <w:rPr>
          <w:rFonts w:cstheme="minorHAnsi"/>
          <w:i/>
          <w:sz w:val="20"/>
          <w:szCs w:val="20"/>
        </w:rPr>
      </w:pPr>
      <w:r w:rsidRPr="003D2AB7">
        <w:rPr>
          <w:rFonts w:cstheme="minorHAnsi"/>
          <w:i/>
          <w:sz w:val="20"/>
          <w:szCs w:val="20"/>
        </w:rPr>
        <w:t>Whil</w:t>
      </w:r>
      <w:r w:rsidR="00244305" w:rsidRPr="003D2AB7">
        <w:rPr>
          <w:rFonts w:cstheme="minorHAnsi"/>
          <w:i/>
          <w:sz w:val="20"/>
          <w:szCs w:val="20"/>
        </w:rPr>
        <w:t>st</w:t>
      </w:r>
      <w:r w:rsidRPr="003D2AB7">
        <w:rPr>
          <w:rFonts w:cstheme="minorHAnsi"/>
          <w:i/>
          <w:sz w:val="20"/>
          <w:szCs w:val="20"/>
        </w:rPr>
        <w:t xml:space="preserve"> DPI appear to have regular and active discussion on IFM risks and issues, risk an</w:t>
      </w:r>
      <w:r w:rsidR="00F3276E" w:rsidRPr="003D2AB7">
        <w:rPr>
          <w:rFonts w:cstheme="minorHAnsi"/>
          <w:i/>
          <w:sz w:val="20"/>
          <w:szCs w:val="20"/>
        </w:rPr>
        <w:t>d</w:t>
      </w:r>
      <w:r w:rsidRPr="003D2AB7">
        <w:rPr>
          <w:rFonts w:cstheme="minorHAnsi"/>
          <w:i/>
          <w:sz w:val="20"/>
          <w:szCs w:val="20"/>
        </w:rPr>
        <w:t xml:space="preserve"> issue management processes have not been formalised. </w:t>
      </w:r>
    </w:p>
    <w:p w14:paraId="085C0699" w14:textId="77777777" w:rsidR="004614E7" w:rsidRPr="003D2AB7" w:rsidRDefault="004614E7" w:rsidP="00F74EDA">
      <w:pPr>
        <w:spacing w:before="120" w:after="120" w:line="240" w:lineRule="auto"/>
        <w:rPr>
          <w:rFonts w:cstheme="minorHAnsi"/>
          <w:sz w:val="20"/>
          <w:szCs w:val="20"/>
        </w:rPr>
      </w:pPr>
      <w:r w:rsidRPr="003D2AB7">
        <w:rPr>
          <w:rFonts w:cstheme="minorHAnsi"/>
          <w:sz w:val="20"/>
          <w:szCs w:val="20"/>
        </w:rPr>
        <w:t xml:space="preserve">DPI have developed a high-level IFM project risk log which is updated and reported as part of </w:t>
      </w:r>
      <w:r w:rsidR="00314AD5" w:rsidRPr="003D2AB7">
        <w:rPr>
          <w:rFonts w:cstheme="minorHAnsi"/>
          <w:sz w:val="20"/>
          <w:szCs w:val="20"/>
        </w:rPr>
        <w:t xml:space="preserve">the </w:t>
      </w:r>
      <w:r w:rsidRPr="003D2AB7">
        <w:rPr>
          <w:rFonts w:cstheme="minorHAnsi"/>
          <w:sz w:val="20"/>
          <w:szCs w:val="20"/>
        </w:rPr>
        <w:t xml:space="preserve">highlight reports presented </w:t>
      </w:r>
      <w:r w:rsidR="00314AD5" w:rsidRPr="003D2AB7">
        <w:rPr>
          <w:rFonts w:cstheme="minorHAnsi"/>
          <w:sz w:val="20"/>
          <w:szCs w:val="20"/>
        </w:rPr>
        <w:t>to</w:t>
      </w:r>
      <w:r w:rsidRPr="003D2AB7">
        <w:rPr>
          <w:rFonts w:cstheme="minorHAnsi"/>
          <w:sz w:val="20"/>
          <w:szCs w:val="20"/>
        </w:rPr>
        <w:t xml:space="preserve"> PGG meetings. These</w:t>
      </w:r>
      <w:r w:rsidR="00244305" w:rsidRPr="003D2AB7">
        <w:rPr>
          <w:rFonts w:cstheme="minorHAnsi"/>
          <w:sz w:val="20"/>
          <w:szCs w:val="20"/>
        </w:rPr>
        <w:t xml:space="preserve"> project risk logs</w:t>
      </w:r>
      <w:r w:rsidRPr="003D2AB7">
        <w:rPr>
          <w:rFonts w:cstheme="minorHAnsi"/>
          <w:sz w:val="20"/>
          <w:szCs w:val="20"/>
        </w:rPr>
        <w:t xml:space="preserve"> focus on key risks and issues impacting the project</w:t>
      </w:r>
      <w:r w:rsidR="00244305" w:rsidRPr="003D2AB7">
        <w:rPr>
          <w:rFonts w:cstheme="minorHAnsi"/>
          <w:sz w:val="20"/>
          <w:szCs w:val="20"/>
        </w:rPr>
        <w:t>’s</w:t>
      </w:r>
      <w:r w:rsidRPr="003D2AB7">
        <w:rPr>
          <w:rFonts w:cstheme="minorHAnsi"/>
          <w:sz w:val="20"/>
          <w:szCs w:val="20"/>
        </w:rPr>
        <w:t xml:space="preserve"> progress. </w:t>
      </w:r>
      <w:r w:rsidR="00BB52E9" w:rsidRPr="003D2AB7">
        <w:rPr>
          <w:rFonts w:cstheme="minorHAnsi"/>
          <w:sz w:val="20"/>
          <w:szCs w:val="20"/>
        </w:rPr>
        <w:t xml:space="preserve">DPI also identify and document stakeholder and communication risks per funding round to inform communications activities. </w:t>
      </w:r>
      <w:r w:rsidRPr="003D2AB7">
        <w:rPr>
          <w:rFonts w:cstheme="minorHAnsi"/>
          <w:sz w:val="20"/>
          <w:szCs w:val="20"/>
        </w:rPr>
        <w:t xml:space="preserve">Discussion with IFM project staff indicated that regular </w:t>
      </w:r>
      <w:r w:rsidR="00321140" w:rsidRPr="003D2AB7">
        <w:rPr>
          <w:rFonts w:cstheme="minorHAnsi"/>
          <w:sz w:val="20"/>
          <w:szCs w:val="20"/>
        </w:rPr>
        <w:t xml:space="preserve">project </w:t>
      </w:r>
      <w:r w:rsidRPr="003D2AB7">
        <w:rPr>
          <w:rFonts w:cstheme="minorHAnsi"/>
          <w:sz w:val="20"/>
          <w:szCs w:val="20"/>
        </w:rPr>
        <w:t>risk</w:t>
      </w:r>
      <w:r w:rsidR="00321140" w:rsidRPr="003D2AB7">
        <w:rPr>
          <w:rFonts w:cstheme="minorHAnsi"/>
          <w:sz w:val="20"/>
          <w:szCs w:val="20"/>
        </w:rPr>
        <w:t>s</w:t>
      </w:r>
      <w:r w:rsidRPr="003D2AB7">
        <w:rPr>
          <w:rFonts w:cstheme="minorHAnsi"/>
          <w:sz w:val="20"/>
          <w:szCs w:val="20"/>
        </w:rPr>
        <w:t xml:space="preserve"> and issues discussions are </w:t>
      </w:r>
      <w:r w:rsidR="00321140" w:rsidRPr="003D2AB7">
        <w:rPr>
          <w:rFonts w:cstheme="minorHAnsi"/>
          <w:sz w:val="20"/>
          <w:szCs w:val="20"/>
        </w:rPr>
        <w:t>held during weekly PCG meetings. All discussions were minuted and actions recorded in an actions and tasks register. The register was reviewed and updated at each P</w:t>
      </w:r>
      <w:r w:rsidR="009F452D" w:rsidRPr="003D2AB7">
        <w:rPr>
          <w:rFonts w:cstheme="minorHAnsi"/>
          <w:sz w:val="20"/>
          <w:szCs w:val="20"/>
        </w:rPr>
        <w:t>C</w:t>
      </w:r>
      <w:r w:rsidR="00321140" w:rsidRPr="003D2AB7">
        <w:rPr>
          <w:rFonts w:cstheme="minorHAnsi"/>
          <w:sz w:val="20"/>
          <w:szCs w:val="20"/>
        </w:rPr>
        <w:t>G meetings.</w:t>
      </w:r>
      <w:r w:rsidR="001A1CC1" w:rsidRPr="003D2AB7">
        <w:rPr>
          <w:rFonts w:cstheme="minorHAnsi"/>
          <w:sz w:val="20"/>
          <w:szCs w:val="20"/>
        </w:rPr>
        <w:t xml:space="preserve"> Any significant risks or issues are reported to relevant governance forums as required. </w:t>
      </w:r>
    </w:p>
    <w:p w14:paraId="4D75D786" w14:textId="664A2F7A" w:rsidR="003E73C2" w:rsidRPr="003D2AB7" w:rsidRDefault="001A1CC1" w:rsidP="00F74EDA">
      <w:pPr>
        <w:spacing w:before="120" w:after="120" w:line="240" w:lineRule="auto"/>
        <w:rPr>
          <w:rFonts w:cstheme="minorHAnsi"/>
          <w:sz w:val="20"/>
          <w:szCs w:val="20"/>
        </w:rPr>
      </w:pPr>
      <w:r w:rsidRPr="003D2AB7">
        <w:rPr>
          <w:rFonts w:cstheme="minorHAnsi"/>
          <w:sz w:val="20"/>
          <w:szCs w:val="20"/>
        </w:rPr>
        <w:t xml:space="preserve">Notwithstanding, </w:t>
      </w:r>
      <w:r w:rsidR="00F3276E" w:rsidRPr="003D2AB7">
        <w:rPr>
          <w:rFonts w:cstheme="minorHAnsi"/>
          <w:sz w:val="20"/>
          <w:szCs w:val="20"/>
        </w:rPr>
        <w:t xml:space="preserve">KPMG noted that key </w:t>
      </w:r>
      <w:r w:rsidR="00321140" w:rsidRPr="003D2AB7">
        <w:rPr>
          <w:rFonts w:cstheme="minorHAnsi"/>
          <w:sz w:val="20"/>
          <w:szCs w:val="20"/>
        </w:rPr>
        <w:t>risk</w:t>
      </w:r>
      <w:r w:rsidR="00F3276E" w:rsidRPr="003D2AB7">
        <w:rPr>
          <w:rFonts w:cstheme="minorHAnsi"/>
          <w:sz w:val="20"/>
          <w:szCs w:val="20"/>
        </w:rPr>
        <w:t xml:space="preserve"> and issue management artefacts were not maintained for the IFM project</w:t>
      </w:r>
      <w:r w:rsidR="00A54E1E" w:rsidRPr="003D2AB7">
        <w:rPr>
          <w:rFonts w:cstheme="minorHAnsi"/>
          <w:sz w:val="20"/>
          <w:szCs w:val="20"/>
        </w:rPr>
        <w:t xml:space="preserve">. This included </w:t>
      </w:r>
      <w:r w:rsidR="00F3276E" w:rsidRPr="003D2AB7">
        <w:rPr>
          <w:rFonts w:cstheme="minorHAnsi"/>
          <w:sz w:val="20"/>
          <w:szCs w:val="20"/>
        </w:rPr>
        <w:t xml:space="preserve">a risk management plan, risk register </w:t>
      </w:r>
      <w:r w:rsidR="00244305" w:rsidRPr="003D2AB7">
        <w:rPr>
          <w:rFonts w:cstheme="minorHAnsi"/>
          <w:sz w:val="20"/>
          <w:szCs w:val="20"/>
        </w:rPr>
        <w:t xml:space="preserve">or </w:t>
      </w:r>
      <w:r w:rsidR="00F3276E" w:rsidRPr="003D2AB7">
        <w:rPr>
          <w:rFonts w:cstheme="minorHAnsi"/>
          <w:sz w:val="20"/>
          <w:szCs w:val="20"/>
        </w:rPr>
        <w:t>issues register. Refer to</w:t>
      </w:r>
      <w:r w:rsidR="00321140" w:rsidRPr="003D2AB7">
        <w:rPr>
          <w:rFonts w:cstheme="minorHAnsi"/>
          <w:sz w:val="20"/>
          <w:szCs w:val="20"/>
        </w:rPr>
        <w:t xml:space="preserve"> </w:t>
      </w:r>
      <w:r w:rsidR="00A54E1E" w:rsidRPr="003D2AB7">
        <w:rPr>
          <w:rFonts w:cstheme="minorHAnsi"/>
          <w:sz w:val="20"/>
          <w:szCs w:val="20"/>
        </w:rPr>
        <w:t>S</w:t>
      </w:r>
      <w:r w:rsidR="00E86244" w:rsidRPr="003D2AB7">
        <w:rPr>
          <w:rFonts w:cstheme="minorHAnsi"/>
          <w:sz w:val="20"/>
          <w:szCs w:val="20"/>
        </w:rPr>
        <w:t>ection 4.1</w:t>
      </w:r>
      <w:r w:rsidR="00244305" w:rsidRPr="003D2AB7">
        <w:rPr>
          <w:rFonts w:cstheme="minorHAnsi"/>
          <w:sz w:val="20"/>
          <w:szCs w:val="20"/>
        </w:rPr>
        <w:t xml:space="preserve"> f</w:t>
      </w:r>
      <w:r w:rsidR="00E86244" w:rsidRPr="003D2AB7">
        <w:rPr>
          <w:rFonts w:cstheme="minorHAnsi"/>
          <w:sz w:val="20"/>
          <w:szCs w:val="20"/>
        </w:rPr>
        <w:t>or</w:t>
      </w:r>
      <w:r w:rsidR="00244305" w:rsidRPr="003D2AB7">
        <w:rPr>
          <w:rFonts w:cstheme="minorHAnsi"/>
          <w:sz w:val="20"/>
          <w:szCs w:val="20"/>
        </w:rPr>
        <w:t xml:space="preserve"> </w:t>
      </w:r>
      <w:r w:rsidR="00E86244" w:rsidRPr="003D2AB7">
        <w:rPr>
          <w:rFonts w:cstheme="minorHAnsi"/>
          <w:sz w:val="20"/>
          <w:szCs w:val="20"/>
        </w:rPr>
        <w:t>further detail</w:t>
      </w:r>
      <w:r w:rsidR="00314AD5" w:rsidRPr="003D2AB7">
        <w:rPr>
          <w:rFonts w:cstheme="minorHAnsi"/>
          <w:sz w:val="20"/>
          <w:szCs w:val="20"/>
        </w:rPr>
        <w:t>s.</w:t>
      </w:r>
    </w:p>
    <w:p w14:paraId="3CDA1582" w14:textId="77777777" w:rsidR="003E345A" w:rsidRPr="003D2AB7" w:rsidRDefault="003E345A" w:rsidP="00BB52E9">
      <w:pPr>
        <w:pStyle w:val="Heading2"/>
        <w:rPr>
          <w:rFonts w:asciiTheme="minorHAnsi" w:hAnsiTheme="minorHAnsi" w:cstheme="minorHAnsi"/>
        </w:rPr>
      </w:pPr>
      <w:bookmarkStart w:id="20" w:name="_Toc532474954"/>
      <w:r w:rsidRPr="003D2AB7">
        <w:rPr>
          <w:rFonts w:asciiTheme="minorHAnsi" w:hAnsiTheme="minorHAnsi" w:cstheme="minorHAnsi"/>
        </w:rPr>
        <w:t>Financial management</w:t>
      </w:r>
      <w:bookmarkEnd w:id="20"/>
    </w:p>
    <w:p w14:paraId="1577F04D" w14:textId="77777777" w:rsidR="00410604" w:rsidRPr="003D2AB7" w:rsidRDefault="009A5A3E" w:rsidP="00F74EDA">
      <w:pPr>
        <w:keepNext/>
        <w:shd w:val="clear" w:color="auto" w:fill="E7E6E6" w:themeFill="background2"/>
        <w:rPr>
          <w:rFonts w:cstheme="minorHAnsi"/>
          <w:i/>
          <w:sz w:val="20"/>
          <w:szCs w:val="20"/>
        </w:rPr>
      </w:pPr>
      <w:r w:rsidRPr="003D2AB7">
        <w:rPr>
          <w:rFonts w:cstheme="minorHAnsi"/>
          <w:i/>
          <w:sz w:val="20"/>
          <w:szCs w:val="20"/>
        </w:rPr>
        <w:t>DPI</w:t>
      </w:r>
      <w:r w:rsidR="00474DAB" w:rsidRPr="003D2AB7">
        <w:rPr>
          <w:rFonts w:cstheme="minorHAnsi"/>
          <w:i/>
          <w:sz w:val="20"/>
          <w:szCs w:val="20"/>
        </w:rPr>
        <w:t xml:space="preserve"> </w:t>
      </w:r>
      <w:r w:rsidR="00246CC8" w:rsidRPr="003D2AB7">
        <w:rPr>
          <w:rFonts w:cstheme="minorHAnsi"/>
          <w:i/>
          <w:sz w:val="20"/>
          <w:szCs w:val="20"/>
        </w:rPr>
        <w:t xml:space="preserve">appears to have </w:t>
      </w:r>
      <w:r w:rsidR="00474DAB" w:rsidRPr="003D2AB7">
        <w:rPr>
          <w:rFonts w:cstheme="minorHAnsi"/>
          <w:i/>
          <w:sz w:val="20"/>
          <w:szCs w:val="20"/>
        </w:rPr>
        <w:t>implemented appropriate financial management systems, processes and controls at both an i</w:t>
      </w:r>
      <w:r w:rsidRPr="003D2AB7">
        <w:rPr>
          <w:rFonts w:cstheme="minorHAnsi"/>
          <w:i/>
          <w:sz w:val="20"/>
          <w:szCs w:val="20"/>
        </w:rPr>
        <w:t xml:space="preserve">ndividual proponent and IFM </w:t>
      </w:r>
      <w:r w:rsidR="00474DAB" w:rsidRPr="003D2AB7">
        <w:rPr>
          <w:rFonts w:cstheme="minorHAnsi"/>
          <w:i/>
          <w:sz w:val="20"/>
          <w:szCs w:val="20"/>
        </w:rPr>
        <w:t xml:space="preserve">project level. These processes and controls are designed to support </w:t>
      </w:r>
      <w:r w:rsidR="002F7F17" w:rsidRPr="003D2AB7">
        <w:rPr>
          <w:rFonts w:cstheme="minorHAnsi"/>
          <w:i/>
          <w:sz w:val="20"/>
          <w:szCs w:val="20"/>
        </w:rPr>
        <w:t xml:space="preserve">the </w:t>
      </w:r>
      <w:r w:rsidR="00474DAB" w:rsidRPr="003D2AB7">
        <w:rPr>
          <w:rFonts w:cstheme="minorHAnsi"/>
          <w:i/>
          <w:sz w:val="20"/>
          <w:szCs w:val="20"/>
        </w:rPr>
        <w:t xml:space="preserve">appropriate use of Commonwealth funds and </w:t>
      </w:r>
      <w:r w:rsidR="00690029" w:rsidRPr="003D2AB7">
        <w:rPr>
          <w:rFonts w:cstheme="minorHAnsi"/>
          <w:i/>
          <w:sz w:val="20"/>
          <w:szCs w:val="20"/>
        </w:rPr>
        <w:t>appear to be fit for purpose</w:t>
      </w:r>
      <w:r w:rsidR="00474DAB" w:rsidRPr="003D2AB7">
        <w:rPr>
          <w:rFonts w:cstheme="minorHAnsi"/>
          <w:i/>
          <w:sz w:val="20"/>
          <w:szCs w:val="20"/>
        </w:rPr>
        <w:t xml:space="preserve">. No </w:t>
      </w:r>
      <w:r w:rsidR="001E2976" w:rsidRPr="003D2AB7">
        <w:rPr>
          <w:rFonts w:cstheme="minorHAnsi"/>
          <w:i/>
          <w:sz w:val="20"/>
          <w:szCs w:val="20"/>
        </w:rPr>
        <w:t>material</w:t>
      </w:r>
      <w:r w:rsidR="00474DAB" w:rsidRPr="003D2AB7">
        <w:rPr>
          <w:rFonts w:cstheme="minorHAnsi"/>
          <w:i/>
          <w:sz w:val="20"/>
          <w:szCs w:val="20"/>
        </w:rPr>
        <w:t xml:space="preserve"> discrepancies or control deficiencies were identified.  </w:t>
      </w:r>
      <w:r w:rsidR="006724A6" w:rsidRPr="003D2AB7">
        <w:rPr>
          <w:rFonts w:cstheme="minorHAnsi"/>
          <w:i/>
          <w:sz w:val="20"/>
          <w:szCs w:val="20"/>
        </w:rPr>
        <w:t xml:space="preserve"> </w:t>
      </w:r>
    </w:p>
    <w:p w14:paraId="354A65CF" w14:textId="77777777" w:rsidR="00871FD3" w:rsidRPr="003D2AB7" w:rsidRDefault="00871FD3" w:rsidP="00F74EDA">
      <w:pPr>
        <w:spacing w:before="120" w:after="120" w:line="240" w:lineRule="auto"/>
        <w:rPr>
          <w:rFonts w:cstheme="minorHAnsi"/>
          <w:sz w:val="20"/>
          <w:szCs w:val="20"/>
        </w:rPr>
      </w:pPr>
      <w:r w:rsidRPr="003D2AB7">
        <w:rPr>
          <w:rFonts w:cstheme="minorHAnsi"/>
          <w:sz w:val="20"/>
          <w:szCs w:val="20"/>
        </w:rPr>
        <w:t xml:space="preserve">There are two key aspects to financial management which were assessed as part of the review. Firstly, the requirements to manage </w:t>
      </w:r>
      <w:r w:rsidR="00AD288F" w:rsidRPr="003D2AB7">
        <w:rPr>
          <w:rFonts w:cstheme="minorHAnsi"/>
          <w:sz w:val="20"/>
          <w:szCs w:val="20"/>
        </w:rPr>
        <w:t>p</w:t>
      </w:r>
      <w:r w:rsidR="00AD3789" w:rsidRPr="003D2AB7">
        <w:rPr>
          <w:rFonts w:cstheme="minorHAnsi"/>
          <w:sz w:val="20"/>
          <w:szCs w:val="20"/>
        </w:rPr>
        <w:t xml:space="preserve">roponent-level </w:t>
      </w:r>
      <w:r w:rsidRPr="003D2AB7">
        <w:rPr>
          <w:rFonts w:cstheme="minorHAnsi"/>
          <w:sz w:val="20"/>
          <w:szCs w:val="20"/>
        </w:rPr>
        <w:t xml:space="preserve">project funds in accordance with their project scope and </w:t>
      </w:r>
      <w:r w:rsidR="00343111" w:rsidRPr="003D2AB7">
        <w:rPr>
          <w:rFonts w:cstheme="minorHAnsi"/>
          <w:sz w:val="20"/>
          <w:szCs w:val="20"/>
        </w:rPr>
        <w:t>funding</w:t>
      </w:r>
      <w:r w:rsidRPr="003D2AB7">
        <w:rPr>
          <w:rFonts w:cstheme="minorHAnsi"/>
          <w:sz w:val="20"/>
          <w:szCs w:val="20"/>
        </w:rPr>
        <w:t xml:space="preserve"> </w:t>
      </w:r>
      <w:r w:rsidR="00343111" w:rsidRPr="003D2AB7">
        <w:rPr>
          <w:rFonts w:cstheme="minorHAnsi"/>
          <w:sz w:val="20"/>
          <w:szCs w:val="20"/>
        </w:rPr>
        <w:t>deeds</w:t>
      </w:r>
      <w:r w:rsidR="00314AD5" w:rsidRPr="003D2AB7">
        <w:rPr>
          <w:rFonts w:cstheme="minorHAnsi"/>
          <w:sz w:val="20"/>
          <w:szCs w:val="20"/>
        </w:rPr>
        <w:t>,</w:t>
      </w:r>
      <w:r w:rsidRPr="003D2AB7">
        <w:rPr>
          <w:rFonts w:cstheme="minorHAnsi"/>
          <w:sz w:val="20"/>
          <w:szCs w:val="20"/>
        </w:rPr>
        <w:t xml:space="preserve"> and secondly</w:t>
      </w:r>
      <w:r w:rsidR="002F7F17" w:rsidRPr="003D2AB7">
        <w:rPr>
          <w:rFonts w:cstheme="minorHAnsi"/>
          <w:sz w:val="20"/>
          <w:szCs w:val="20"/>
        </w:rPr>
        <w:t>,</w:t>
      </w:r>
      <w:r w:rsidRPr="003D2AB7">
        <w:rPr>
          <w:rFonts w:cstheme="minorHAnsi"/>
          <w:sz w:val="20"/>
          <w:szCs w:val="20"/>
        </w:rPr>
        <w:t xml:space="preserve"> </w:t>
      </w:r>
      <w:r w:rsidR="00C86C99" w:rsidRPr="003D2AB7">
        <w:rPr>
          <w:rFonts w:cstheme="minorHAnsi"/>
          <w:sz w:val="20"/>
          <w:szCs w:val="20"/>
        </w:rPr>
        <w:t>DPI’s</w:t>
      </w:r>
      <w:r w:rsidRPr="003D2AB7">
        <w:rPr>
          <w:rFonts w:cstheme="minorHAnsi"/>
          <w:sz w:val="20"/>
          <w:szCs w:val="20"/>
        </w:rPr>
        <w:t xml:space="preserve"> processes and systems in place to manage</w:t>
      </w:r>
      <w:r w:rsidR="005C7F2B" w:rsidRPr="003D2AB7">
        <w:rPr>
          <w:rFonts w:cstheme="minorHAnsi"/>
          <w:sz w:val="20"/>
          <w:szCs w:val="20"/>
        </w:rPr>
        <w:t xml:space="preserve"> the</w:t>
      </w:r>
      <w:r w:rsidR="00343111" w:rsidRPr="003D2AB7">
        <w:rPr>
          <w:rFonts w:cstheme="minorHAnsi"/>
          <w:sz w:val="20"/>
          <w:szCs w:val="20"/>
        </w:rPr>
        <w:t xml:space="preserve"> IFM</w:t>
      </w:r>
      <w:r w:rsidRPr="003D2AB7">
        <w:rPr>
          <w:rFonts w:cstheme="minorHAnsi"/>
          <w:sz w:val="20"/>
          <w:szCs w:val="20"/>
        </w:rPr>
        <w:t xml:space="preserve"> </w:t>
      </w:r>
      <w:r w:rsidR="005C7F2B" w:rsidRPr="003D2AB7">
        <w:rPr>
          <w:rFonts w:cstheme="minorHAnsi"/>
          <w:sz w:val="20"/>
          <w:szCs w:val="20"/>
        </w:rPr>
        <w:t>project</w:t>
      </w:r>
      <w:r w:rsidR="00343111" w:rsidRPr="003D2AB7">
        <w:rPr>
          <w:rFonts w:cstheme="minorHAnsi"/>
          <w:sz w:val="20"/>
          <w:szCs w:val="20"/>
        </w:rPr>
        <w:t xml:space="preserve">, including </w:t>
      </w:r>
      <w:r w:rsidRPr="003D2AB7">
        <w:rPr>
          <w:rFonts w:cstheme="minorHAnsi"/>
          <w:sz w:val="20"/>
          <w:szCs w:val="20"/>
        </w:rPr>
        <w:t>Commonwealth funds</w:t>
      </w:r>
      <w:r w:rsidR="00551A0B" w:rsidRPr="003D2AB7">
        <w:rPr>
          <w:rFonts w:cstheme="minorHAnsi"/>
          <w:sz w:val="20"/>
          <w:szCs w:val="20"/>
        </w:rPr>
        <w:t>,</w:t>
      </w:r>
      <w:r w:rsidRPr="003D2AB7">
        <w:rPr>
          <w:rFonts w:cstheme="minorHAnsi"/>
          <w:sz w:val="20"/>
          <w:szCs w:val="20"/>
        </w:rPr>
        <w:t xml:space="preserve"> in an appropriate manner. KPMG assessed the adequacy of key systems, processes and controls relating to the tracking of budgets, actual expenditure and project schedules as well as project acquittal and milestone requirements. </w:t>
      </w:r>
    </w:p>
    <w:p w14:paraId="023073A5" w14:textId="77777777" w:rsidR="00871FD3" w:rsidRPr="003D2AB7" w:rsidRDefault="00871FD3"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Proponent</w:t>
      </w:r>
      <w:r w:rsidR="00AD3789" w:rsidRPr="003D2AB7">
        <w:rPr>
          <w:rFonts w:asciiTheme="minorHAnsi" w:hAnsiTheme="minorHAnsi" w:cstheme="minorHAnsi"/>
          <w:sz w:val="20"/>
          <w:szCs w:val="20"/>
        </w:rPr>
        <w:t>-level</w:t>
      </w:r>
      <w:r w:rsidRPr="003D2AB7">
        <w:rPr>
          <w:rFonts w:asciiTheme="minorHAnsi" w:hAnsiTheme="minorHAnsi" w:cstheme="minorHAnsi"/>
          <w:sz w:val="20"/>
          <w:szCs w:val="20"/>
        </w:rPr>
        <w:t xml:space="preserve"> </w:t>
      </w:r>
      <w:r w:rsidR="00BB52E9" w:rsidRPr="003D2AB7">
        <w:rPr>
          <w:rFonts w:asciiTheme="minorHAnsi" w:hAnsiTheme="minorHAnsi" w:cstheme="minorHAnsi"/>
          <w:sz w:val="20"/>
          <w:szCs w:val="20"/>
        </w:rPr>
        <w:t>financial m</w:t>
      </w:r>
      <w:r w:rsidRPr="003D2AB7">
        <w:rPr>
          <w:rFonts w:asciiTheme="minorHAnsi" w:hAnsiTheme="minorHAnsi" w:cstheme="minorHAnsi"/>
          <w:sz w:val="20"/>
          <w:szCs w:val="20"/>
        </w:rPr>
        <w:t>anagement</w:t>
      </w:r>
    </w:p>
    <w:p w14:paraId="17D13252" w14:textId="77777777" w:rsidR="00871FD3" w:rsidRPr="003D2AB7" w:rsidRDefault="00075888" w:rsidP="00F74EDA">
      <w:pPr>
        <w:spacing w:before="120" w:after="120" w:line="240" w:lineRule="auto"/>
        <w:rPr>
          <w:rFonts w:cstheme="minorHAnsi"/>
          <w:sz w:val="20"/>
          <w:szCs w:val="20"/>
        </w:rPr>
      </w:pPr>
      <w:r w:rsidRPr="003D2AB7">
        <w:rPr>
          <w:rFonts w:cstheme="minorHAnsi"/>
          <w:sz w:val="20"/>
          <w:szCs w:val="20"/>
        </w:rPr>
        <w:t>KPMG’s t</w:t>
      </w:r>
      <w:r w:rsidR="00246CC8" w:rsidRPr="003D2AB7">
        <w:rPr>
          <w:rFonts w:cstheme="minorHAnsi"/>
          <w:sz w:val="20"/>
          <w:szCs w:val="20"/>
        </w:rPr>
        <w:t>esting focused on financial management controls and processes</w:t>
      </w:r>
      <w:r w:rsidRPr="003D2AB7">
        <w:rPr>
          <w:rFonts w:cstheme="minorHAnsi"/>
          <w:sz w:val="20"/>
          <w:szCs w:val="20"/>
        </w:rPr>
        <w:t xml:space="preserve"> for the processing of proponent milestone payments</w:t>
      </w:r>
      <w:r w:rsidR="00246CC8" w:rsidRPr="003D2AB7">
        <w:rPr>
          <w:rFonts w:cstheme="minorHAnsi"/>
          <w:sz w:val="20"/>
          <w:szCs w:val="20"/>
        </w:rPr>
        <w:t xml:space="preserve"> and did not test the accuracy or validity of </w:t>
      </w:r>
      <w:r w:rsidR="00D2242A" w:rsidRPr="003D2AB7">
        <w:rPr>
          <w:rFonts w:cstheme="minorHAnsi"/>
          <w:sz w:val="20"/>
          <w:szCs w:val="20"/>
        </w:rPr>
        <w:t xml:space="preserve">information submitted for </w:t>
      </w:r>
      <w:r w:rsidR="00246CC8" w:rsidRPr="003D2AB7">
        <w:rPr>
          <w:rFonts w:cstheme="minorHAnsi"/>
          <w:sz w:val="20"/>
          <w:szCs w:val="20"/>
        </w:rPr>
        <w:t xml:space="preserve">proponent claims. </w:t>
      </w:r>
      <w:r w:rsidR="004F585C" w:rsidRPr="003D2AB7">
        <w:rPr>
          <w:rFonts w:cstheme="minorHAnsi"/>
          <w:sz w:val="20"/>
          <w:szCs w:val="20"/>
        </w:rPr>
        <w:t>Key financial controls established are detailed below</w:t>
      </w:r>
      <w:r w:rsidR="00871FD3" w:rsidRPr="003D2AB7">
        <w:rPr>
          <w:rFonts w:cstheme="minorHAnsi"/>
          <w:sz w:val="20"/>
          <w:szCs w:val="20"/>
        </w:rPr>
        <w:t>.</w:t>
      </w:r>
    </w:p>
    <w:p w14:paraId="4F84422A" w14:textId="0C96AF2B" w:rsidR="0092426E" w:rsidRPr="003D2AB7" w:rsidRDefault="00702B27" w:rsidP="009F452D">
      <w:pPr>
        <w:pStyle w:val="ListParagraph"/>
        <w:numPr>
          <w:ilvl w:val="0"/>
          <w:numId w:val="12"/>
        </w:numPr>
        <w:spacing w:before="120" w:after="120" w:line="240" w:lineRule="auto"/>
        <w:contextualSpacing w:val="0"/>
        <w:rPr>
          <w:rFonts w:cstheme="minorHAnsi"/>
          <w:sz w:val="20"/>
          <w:szCs w:val="20"/>
        </w:rPr>
      </w:pPr>
      <w:r w:rsidRPr="003D2AB7">
        <w:rPr>
          <w:rFonts w:cstheme="minorHAnsi"/>
          <w:sz w:val="20"/>
          <w:szCs w:val="20"/>
        </w:rPr>
        <w:t>The p</w:t>
      </w:r>
      <w:r w:rsidR="004F585C" w:rsidRPr="003D2AB7">
        <w:rPr>
          <w:rFonts w:cstheme="minorHAnsi"/>
          <w:sz w:val="20"/>
          <w:szCs w:val="20"/>
        </w:rPr>
        <w:t>r</w:t>
      </w:r>
      <w:r w:rsidR="00871FD3" w:rsidRPr="003D2AB7">
        <w:rPr>
          <w:rFonts w:cstheme="minorHAnsi"/>
          <w:sz w:val="20"/>
          <w:szCs w:val="20"/>
        </w:rPr>
        <w:t xml:space="preserve">oponent is entitled to their first milestone payment following </w:t>
      </w:r>
      <w:r w:rsidR="009F452D" w:rsidRPr="003D2AB7">
        <w:rPr>
          <w:rFonts w:cstheme="minorHAnsi"/>
          <w:sz w:val="20"/>
          <w:szCs w:val="20"/>
        </w:rPr>
        <w:t xml:space="preserve">Notification of registration of the water entitlement transfer dealing </w:t>
      </w:r>
      <w:r w:rsidR="005C7F2B" w:rsidRPr="003D2AB7">
        <w:rPr>
          <w:rFonts w:cstheme="minorHAnsi"/>
          <w:sz w:val="20"/>
          <w:szCs w:val="20"/>
        </w:rPr>
        <w:t>to t</w:t>
      </w:r>
      <w:r w:rsidR="00871FD3" w:rsidRPr="003D2AB7">
        <w:rPr>
          <w:rFonts w:cstheme="minorHAnsi"/>
          <w:sz w:val="20"/>
          <w:szCs w:val="20"/>
        </w:rPr>
        <w:t xml:space="preserve">he </w:t>
      </w:r>
      <w:r w:rsidR="004F585C" w:rsidRPr="003D2AB7">
        <w:rPr>
          <w:rFonts w:cstheme="minorHAnsi"/>
          <w:sz w:val="20"/>
          <w:szCs w:val="20"/>
        </w:rPr>
        <w:t>NSW Government</w:t>
      </w:r>
      <w:r w:rsidR="00871FD3" w:rsidRPr="003D2AB7">
        <w:rPr>
          <w:rFonts w:cstheme="minorHAnsi"/>
          <w:sz w:val="20"/>
          <w:szCs w:val="20"/>
        </w:rPr>
        <w:t xml:space="preserve">. </w:t>
      </w:r>
      <w:r w:rsidR="004F585C" w:rsidRPr="003D2AB7">
        <w:rPr>
          <w:rFonts w:cstheme="minorHAnsi"/>
          <w:sz w:val="20"/>
          <w:szCs w:val="20"/>
        </w:rPr>
        <w:t xml:space="preserve">Sample testing identified </w:t>
      </w:r>
      <w:r w:rsidR="00316C68" w:rsidRPr="003D2AB7">
        <w:rPr>
          <w:rFonts w:cstheme="minorHAnsi"/>
          <w:sz w:val="20"/>
          <w:szCs w:val="20"/>
        </w:rPr>
        <w:t>eight</w:t>
      </w:r>
      <w:r w:rsidR="004F585C" w:rsidRPr="003D2AB7">
        <w:rPr>
          <w:rFonts w:cstheme="minorHAnsi"/>
          <w:sz w:val="20"/>
          <w:szCs w:val="20"/>
        </w:rPr>
        <w:t xml:space="preserve"> instances where </w:t>
      </w:r>
      <w:r w:rsidR="00871FD3" w:rsidRPr="003D2AB7">
        <w:rPr>
          <w:rFonts w:cstheme="minorHAnsi"/>
          <w:sz w:val="20"/>
          <w:szCs w:val="20"/>
        </w:rPr>
        <w:t xml:space="preserve">proponents received milestone one payments </w:t>
      </w:r>
      <w:r w:rsidR="004F585C" w:rsidRPr="003D2AB7">
        <w:rPr>
          <w:rFonts w:cstheme="minorHAnsi"/>
          <w:sz w:val="20"/>
          <w:szCs w:val="20"/>
        </w:rPr>
        <w:t xml:space="preserve">prior to </w:t>
      </w:r>
      <w:r w:rsidR="000D6F4D" w:rsidRPr="003D2AB7">
        <w:rPr>
          <w:rFonts w:cstheme="minorHAnsi"/>
          <w:sz w:val="20"/>
          <w:szCs w:val="20"/>
        </w:rPr>
        <w:t>water transfer</w:t>
      </w:r>
      <w:r w:rsidR="0069576D" w:rsidRPr="003D2AB7">
        <w:rPr>
          <w:rFonts w:cstheme="minorHAnsi"/>
          <w:sz w:val="20"/>
          <w:szCs w:val="20"/>
        </w:rPr>
        <w:t>.</w:t>
      </w:r>
      <w:r w:rsidR="001E2976" w:rsidRPr="003D2AB7">
        <w:rPr>
          <w:rFonts w:cstheme="minorHAnsi"/>
          <w:sz w:val="20"/>
          <w:szCs w:val="20"/>
        </w:rPr>
        <w:t xml:space="preserve"> All instances related to </w:t>
      </w:r>
      <w:r w:rsidR="008139C7" w:rsidRPr="003D2AB7">
        <w:rPr>
          <w:rFonts w:cstheme="minorHAnsi"/>
          <w:sz w:val="20"/>
          <w:szCs w:val="20"/>
        </w:rPr>
        <w:t xml:space="preserve">funding </w:t>
      </w:r>
      <w:r w:rsidR="001E2976" w:rsidRPr="003D2AB7">
        <w:rPr>
          <w:rFonts w:cstheme="minorHAnsi"/>
          <w:sz w:val="20"/>
          <w:szCs w:val="20"/>
        </w:rPr>
        <w:t>round</w:t>
      </w:r>
      <w:r w:rsidR="008139C7" w:rsidRPr="003D2AB7">
        <w:rPr>
          <w:rFonts w:cstheme="minorHAnsi"/>
          <w:sz w:val="20"/>
          <w:szCs w:val="20"/>
        </w:rPr>
        <w:t>s</w:t>
      </w:r>
      <w:r w:rsidR="001E2976" w:rsidRPr="003D2AB7">
        <w:rPr>
          <w:rFonts w:cstheme="minorHAnsi"/>
          <w:sz w:val="20"/>
          <w:szCs w:val="20"/>
        </w:rPr>
        <w:t xml:space="preserve"> 1 and 2. Discussion indicated that this was due to delays in </w:t>
      </w:r>
      <w:r w:rsidR="00544EEB" w:rsidRPr="003D2AB7">
        <w:rPr>
          <w:rFonts w:cstheme="minorHAnsi"/>
          <w:sz w:val="20"/>
          <w:szCs w:val="20"/>
        </w:rPr>
        <w:t xml:space="preserve">water entitlement </w:t>
      </w:r>
      <w:r w:rsidR="001E2976" w:rsidRPr="003D2AB7">
        <w:rPr>
          <w:rFonts w:cstheme="minorHAnsi"/>
          <w:sz w:val="20"/>
          <w:szCs w:val="20"/>
        </w:rPr>
        <w:t xml:space="preserve">transfer. Payment was expedited by DPI to ensure construction could commence in a timely manner. </w:t>
      </w:r>
      <w:r w:rsidR="002E6119" w:rsidRPr="003D2AB7">
        <w:rPr>
          <w:rFonts w:cstheme="minorHAnsi"/>
          <w:sz w:val="20"/>
          <w:szCs w:val="20"/>
        </w:rPr>
        <w:t xml:space="preserve">DPI indicated </w:t>
      </w:r>
      <w:r w:rsidR="001302BD" w:rsidRPr="003D2AB7">
        <w:rPr>
          <w:rFonts w:cstheme="minorHAnsi"/>
          <w:sz w:val="20"/>
          <w:szCs w:val="20"/>
        </w:rPr>
        <w:t xml:space="preserve">that all </w:t>
      </w:r>
      <w:r w:rsidR="000D6F4D" w:rsidRPr="003D2AB7">
        <w:rPr>
          <w:rFonts w:cstheme="minorHAnsi"/>
          <w:sz w:val="20"/>
          <w:szCs w:val="20"/>
        </w:rPr>
        <w:t>water</w:t>
      </w:r>
      <w:r w:rsidR="001E2976" w:rsidRPr="003D2AB7">
        <w:rPr>
          <w:rFonts w:cstheme="minorHAnsi"/>
          <w:sz w:val="20"/>
          <w:szCs w:val="20"/>
        </w:rPr>
        <w:t xml:space="preserve"> transfers did subsequently occur</w:t>
      </w:r>
      <w:r w:rsidR="002E6119" w:rsidRPr="003D2AB7">
        <w:rPr>
          <w:rFonts w:cstheme="minorHAnsi"/>
          <w:sz w:val="20"/>
          <w:szCs w:val="20"/>
        </w:rPr>
        <w:t xml:space="preserve">. KPMG </w:t>
      </w:r>
      <w:r w:rsidR="001302BD" w:rsidRPr="003D2AB7">
        <w:rPr>
          <w:rFonts w:cstheme="minorHAnsi"/>
          <w:sz w:val="20"/>
          <w:szCs w:val="20"/>
        </w:rPr>
        <w:t xml:space="preserve">also </w:t>
      </w:r>
      <w:r w:rsidR="002E6119" w:rsidRPr="003D2AB7">
        <w:rPr>
          <w:rFonts w:cstheme="minorHAnsi"/>
          <w:sz w:val="20"/>
          <w:szCs w:val="20"/>
        </w:rPr>
        <w:t xml:space="preserve">confirmed </w:t>
      </w:r>
      <w:r w:rsidR="001E2976" w:rsidRPr="003D2AB7">
        <w:rPr>
          <w:rFonts w:cstheme="minorHAnsi"/>
          <w:sz w:val="20"/>
          <w:szCs w:val="20"/>
        </w:rPr>
        <w:t xml:space="preserve">all </w:t>
      </w:r>
      <w:r w:rsidRPr="003D2AB7">
        <w:rPr>
          <w:rFonts w:cstheme="minorHAnsi"/>
          <w:sz w:val="20"/>
          <w:szCs w:val="20"/>
        </w:rPr>
        <w:t>subsequent</w:t>
      </w:r>
      <w:r w:rsidR="001E2976" w:rsidRPr="003D2AB7">
        <w:rPr>
          <w:rFonts w:cstheme="minorHAnsi"/>
          <w:sz w:val="20"/>
          <w:szCs w:val="20"/>
        </w:rPr>
        <w:t xml:space="preserve"> payments were made in accordance with the funding deed</w:t>
      </w:r>
      <w:r w:rsidR="00075888" w:rsidRPr="003D2AB7">
        <w:rPr>
          <w:rFonts w:cstheme="minorHAnsi"/>
          <w:sz w:val="20"/>
          <w:szCs w:val="20"/>
        </w:rPr>
        <w:t xml:space="preserve"> (refer to Section 4.2 for further detail)</w:t>
      </w:r>
      <w:r w:rsidR="001E2976" w:rsidRPr="003D2AB7">
        <w:rPr>
          <w:rFonts w:cstheme="minorHAnsi"/>
          <w:sz w:val="20"/>
          <w:szCs w:val="20"/>
        </w:rPr>
        <w:t>.</w:t>
      </w:r>
    </w:p>
    <w:p w14:paraId="1FEB35F4" w14:textId="77777777" w:rsidR="004F585C" w:rsidRPr="003D2AB7" w:rsidRDefault="00E72B52" w:rsidP="002E6119">
      <w:pPr>
        <w:pStyle w:val="ListParagraph"/>
        <w:numPr>
          <w:ilvl w:val="0"/>
          <w:numId w:val="12"/>
        </w:numPr>
        <w:spacing w:before="120" w:after="120" w:line="240" w:lineRule="auto"/>
        <w:contextualSpacing w:val="0"/>
        <w:rPr>
          <w:rFonts w:cstheme="minorHAnsi"/>
          <w:sz w:val="20"/>
          <w:szCs w:val="20"/>
        </w:rPr>
      </w:pPr>
      <w:r w:rsidRPr="003D2AB7">
        <w:rPr>
          <w:rFonts w:cstheme="minorHAnsi"/>
          <w:sz w:val="20"/>
          <w:szCs w:val="20"/>
        </w:rPr>
        <w:t xml:space="preserve">All </w:t>
      </w:r>
      <w:r w:rsidR="0069576D" w:rsidRPr="003D2AB7">
        <w:rPr>
          <w:rFonts w:cstheme="minorHAnsi"/>
          <w:sz w:val="20"/>
          <w:szCs w:val="20"/>
        </w:rPr>
        <w:t>proponent</w:t>
      </w:r>
      <w:r w:rsidRPr="003D2AB7">
        <w:rPr>
          <w:rFonts w:cstheme="minorHAnsi"/>
          <w:sz w:val="20"/>
          <w:szCs w:val="20"/>
        </w:rPr>
        <w:t xml:space="preserve"> claims </w:t>
      </w:r>
      <w:r w:rsidR="0069576D" w:rsidRPr="003D2AB7">
        <w:rPr>
          <w:rFonts w:cstheme="minorHAnsi"/>
          <w:sz w:val="20"/>
          <w:szCs w:val="20"/>
        </w:rPr>
        <w:t>are required to be</w:t>
      </w:r>
      <w:r w:rsidR="00EF1F3E" w:rsidRPr="003D2AB7">
        <w:rPr>
          <w:rFonts w:cstheme="minorHAnsi"/>
          <w:sz w:val="20"/>
          <w:szCs w:val="20"/>
        </w:rPr>
        <w:t xml:space="preserve"> reviewed </w:t>
      </w:r>
      <w:r w:rsidR="0069576D" w:rsidRPr="003D2AB7">
        <w:rPr>
          <w:rFonts w:cstheme="minorHAnsi"/>
          <w:sz w:val="20"/>
          <w:szCs w:val="20"/>
        </w:rPr>
        <w:t xml:space="preserve">and approved </w:t>
      </w:r>
      <w:r w:rsidR="00EF1F3E" w:rsidRPr="003D2AB7">
        <w:rPr>
          <w:rFonts w:cstheme="minorHAnsi"/>
          <w:sz w:val="20"/>
          <w:szCs w:val="20"/>
        </w:rPr>
        <w:t xml:space="preserve">prior to </w:t>
      </w:r>
      <w:r w:rsidR="0069576D" w:rsidRPr="003D2AB7">
        <w:rPr>
          <w:rFonts w:cstheme="minorHAnsi"/>
          <w:sz w:val="20"/>
          <w:szCs w:val="20"/>
        </w:rPr>
        <w:t>payment.</w:t>
      </w:r>
      <w:r w:rsidRPr="003D2AB7">
        <w:rPr>
          <w:rFonts w:cstheme="minorHAnsi"/>
          <w:sz w:val="20"/>
          <w:szCs w:val="20"/>
        </w:rPr>
        <w:t xml:space="preserve"> </w:t>
      </w:r>
      <w:r w:rsidR="0069576D" w:rsidRPr="003D2AB7">
        <w:rPr>
          <w:rFonts w:cstheme="minorHAnsi"/>
          <w:sz w:val="20"/>
          <w:szCs w:val="20"/>
        </w:rPr>
        <w:t xml:space="preserve">All claims </w:t>
      </w:r>
      <w:r w:rsidR="00DE2909" w:rsidRPr="003D2AB7">
        <w:rPr>
          <w:rFonts w:cstheme="minorHAnsi"/>
          <w:sz w:val="20"/>
          <w:szCs w:val="20"/>
        </w:rPr>
        <w:t>sampled</w:t>
      </w:r>
      <w:r w:rsidR="0069576D" w:rsidRPr="003D2AB7">
        <w:rPr>
          <w:rFonts w:cstheme="minorHAnsi"/>
          <w:sz w:val="20"/>
          <w:szCs w:val="20"/>
        </w:rPr>
        <w:t xml:space="preserve"> showed evidence of review</w:t>
      </w:r>
      <w:r w:rsidRPr="003D2AB7">
        <w:rPr>
          <w:rFonts w:cstheme="minorHAnsi"/>
          <w:sz w:val="20"/>
          <w:szCs w:val="20"/>
        </w:rPr>
        <w:t xml:space="preserve"> </w:t>
      </w:r>
      <w:r w:rsidR="00702B27" w:rsidRPr="003D2AB7">
        <w:rPr>
          <w:rFonts w:cstheme="minorHAnsi"/>
          <w:sz w:val="20"/>
          <w:szCs w:val="20"/>
        </w:rPr>
        <w:t xml:space="preserve">in advance of payment </w:t>
      </w:r>
      <w:r w:rsidRPr="003D2AB7">
        <w:rPr>
          <w:rFonts w:cstheme="minorHAnsi"/>
          <w:sz w:val="20"/>
          <w:szCs w:val="20"/>
        </w:rPr>
        <w:t>and agreed to the approved works agreement</w:t>
      </w:r>
      <w:r w:rsidR="0069576D" w:rsidRPr="003D2AB7">
        <w:rPr>
          <w:rFonts w:cstheme="minorHAnsi"/>
          <w:sz w:val="20"/>
          <w:szCs w:val="20"/>
        </w:rPr>
        <w:t>.</w:t>
      </w:r>
      <w:r w:rsidRPr="003D2AB7">
        <w:rPr>
          <w:rFonts w:cstheme="minorHAnsi"/>
          <w:sz w:val="20"/>
          <w:szCs w:val="20"/>
        </w:rPr>
        <w:t xml:space="preserve"> </w:t>
      </w:r>
      <w:r w:rsidR="004F585C" w:rsidRPr="003D2AB7">
        <w:rPr>
          <w:rFonts w:cstheme="minorHAnsi"/>
          <w:sz w:val="20"/>
          <w:szCs w:val="20"/>
        </w:rPr>
        <w:t xml:space="preserve">Additionally all payments sampled aligned with </w:t>
      </w:r>
      <w:r w:rsidR="00702B27" w:rsidRPr="003D2AB7">
        <w:rPr>
          <w:rFonts w:cstheme="minorHAnsi"/>
          <w:sz w:val="20"/>
          <w:szCs w:val="20"/>
        </w:rPr>
        <w:t xml:space="preserve">the amounts as per the </w:t>
      </w:r>
      <w:r w:rsidR="004F585C" w:rsidRPr="003D2AB7">
        <w:rPr>
          <w:rFonts w:cstheme="minorHAnsi"/>
          <w:sz w:val="20"/>
          <w:szCs w:val="20"/>
        </w:rPr>
        <w:t xml:space="preserve">funding agreements. </w:t>
      </w:r>
    </w:p>
    <w:p w14:paraId="1D818C50" w14:textId="77777777" w:rsidR="004F585C" w:rsidRPr="003D2AB7" w:rsidRDefault="004F585C" w:rsidP="002E6119">
      <w:pPr>
        <w:pStyle w:val="ListParagraph"/>
        <w:numPr>
          <w:ilvl w:val="0"/>
          <w:numId w:val="12"/>
        </w:numPr>
        <w:spacing w:before="120" w:after="120" w:line="240" w:lineRule="auto"/>
        <w:contextualSpacing w:val="0"/>
        <w:rPr>
          <w:rFonts w:cstheme="minorHAnsi"/>
          <w:sz w:val="20"/>
          <w:szCs w:val="20"/>
        </w:rPr>
      </w:pPr>
      <w:r w:rsidRPr="003D2AB7">
        <w:rPr>
          <w:rFonts w:cstheme="minorHAnsi"/>
          <w:sz w:val="20"/>
          <w:szCs w:val="20"/>
        </w:rPr>
        <w:t>All intermediate and final milestone claims</w:t>
      </w:r>
      <w:r w:rsidR="002A7068" w:rsidRPr="003D2AB7">
        <w:rPr>
          <w:rFonts w:cstheme="minorHAnsi"/>
          <w:sz w:val="20"/>
          <w:szCs w:val="20"/>
        </w:rPr>
        <w:t xml:space="preserve"> must</w:t>
      </w:r>
      <w:r w:rsidRPr="003D2AB7">
        <w:rPr>
          <w:rFonts w:cstheme="minorHAnsi"/>
          <w:sz w:val="20"/>
          <w:szCs w:val="20"/>
        </w:rPr>
        <w:t xml:space="preserve"> be accompanied by relevant supporting documentation, including invoices</w:t>
      </w:r>
      <w:r w:rsidR="009F452D" w:rsidRPr="003D2AB7">
        <w:rPr>
          <w:rFonts w:cstheme="minorHAnsi"/>
          <w:sz w:val="20"/>
          <w:szCs w:val="20"/>
        </w:rPr>
        <w:t>, receipts</w:t>
      </w:r>
      <w:r w:rsidRPr="003D2AB7">
        <w:rPr>
          <w:rFonts w:cstheme="minorHAnsi"/>
          <w:sz w:val="20"/>
          <w:szCs w:val="20"/>
        </w:rPr>
        <w:t>, bank statements</w:t>
      </w:r>
      <w:r w:rsidR="002A7068" w:rsidRPr="003D2AB7">
        <w:rPr>
          <w:rFonts w:cstheme="minorHAnsi"/>
          <w:sz w:val="20"/>
          <w:szCs w:val="20"/>
        </w:rPr>
        <w:t xml:space="preserve"> and relevant reports. Sample testing found all supporting documentation on file for claims tested.</w:t>
      </w:r>
    </w:p>
    <w:p w14:paraId="0DF09529" w14:textId="77777777" w:rsidR="002A7068" w:rsidRPr="003D2AB7" w:rsidRDefault="002A7068" w:rsidP="002A7068">
      <w:pPr>
        <w:spacing w:before="120" w:after="120" w:line="240" w:lineRule="auto"/>
        <w:rPr>
          <w:rFonts w:cstheme="minorHAnsi"/>
          <w:sz w:val="20"/>
          <w:szCs w:val="20"/>
        </w:rPr>
      </w:pPr>
      <w:r w:rsidRPr="003D2AB7">
        <w:rPr>
          <w:rFonts w:cstheme="minorHAnsi"/>
          <w:sz w:val="20"/>
          <w:szCs w:val="20"/>
        </w:rPr>
        <w:t xml:space="preserve">KPMG noted </w:t>
      </w:r>
      <w:r w:rsidR="00BE31D8" w:rsidRPr="003D2AB7">
        <w:rPr>
          <w:rFonts w:cstheme="minorHAnsi"/>
          <w:sz w:val="20"/>
          <w:szCs w:val="20"/>
        </w:rPr>
        <w:t xml:space="preserve">an </w:t>
      </w:r>
      <w:r w:rsidRPr="003D2AB7">
        <w:rPr>
          <w:rFonts w:cstheme="minorHAnsi"/>
          <w:sz w:val="20"/>
          <w:szCs w:val="20"/>
        </w:rPr>
        <w:t xml:space="preserve">increased focus on the provision of accurate supporting documentation through the life of the IFM project. For example, </w:t>
      </w:r>
      <w:r w:rsidR="00702B27" w:rsidRPr="003D2AB7">
        <w:rPr>
          <w:rFonts w:cstheme="minorHAnsi"/>
          <w:sz w:val="20"/>
          <w:szCs w:val="20"/>
        </w:rPr>
        <w:t xml:space="preserve">from </w:t>
      </w:r>
      <w:r w:rsidRPr="003D2AB7">
        <w:rPr>
          <w:rFonts w:cstheme="minorHAnsi"/>
          <w:sz w:val="20"/>
          <w:szCs w:val="20"/>
        </w:rPr>
        <w:t xml:space="preserve">round five DPI introduced the requirement to provide supporting invoices for intermediate milestone claims </w:t>
      </w:r>
      <w:r w:rsidR="00702B27" w:rsidRPr="003D2AB7">
        <w:rPr>
          <w:rFonts w:cstheme="minorHAnsi"/>
          <w:sz w:val="20"/>
          <w:szCs w:val="20"/>
        </w:rPr>
        <w:t xml:space="preserve">as </w:t>
      </w:r>
      <w:r w:rsidR="00257432" w:rsidRPr="003D2AB7">
        <w:rPr>
          <w:rFonts w:cstheme="minorHAnsi"/>
          <w:sz w:val="20"/>
          <w:szCs w:val="20"/>
        </w:rPr>
        <w:t>evidence expenditure;</w:t>
      </w:r>
      <w:r w:rsidRPr="003D2AB7">
        <w:rPr>
          <w:rFonts w:cstheme="minorHAnsi"/>
          <w:sz w:val="20"/>
          <w:szCs w:val="20"/>
        </w:rPr>
        <w:t xml:space="preserve"> in previous rounds all supporting invoices were only required at the final milestone. </w:t>
      </w:r>
    </w:p>
    <w:p w14:paraId="6196ECEE" w14:textId="77777777" w:rsidR="00871FD3" w:rsidRPr="003D2AB7" w:rsidRDefault="00F34569"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IFM</w:t>
      </w:r>
      <w:r w:rsidR="00871FD3" w:rsidRPr="003D2AB7">
        <w:rPr>
          <w:rFonts w:asciiTheme="minorHAnsi" w:hAnsiTheme="minorHAnsi" w:cstheme="minorHAnsi"/>
          <w:sz w:val="20"/>
          <w:szCs w:val="20"/>
        </w:rPr>
        <w:t xml:space="preserve"> </w:t>
      </w:r>
      <w:r w:rsidR="00013A31" w:rsidRPr="003D2AB7">
        <w:rPr>
          <w:rFonts w:asciiTheme="minorHAnsi" w:hAnsiTheme="minorHAnsi" w:cstheme="minorHAnsi"/>
          <w:sz w:val="20"/>
          <w:szCs w:val="20"/>
        </w:rPr>
        <w:t xml:space="preserve">Project </w:t>
      </w:r>
      <w:r w:rsidR="00871FD3" w:rsidRPr="003D2AB7">
        <w:rPr>
          <w:rFonts w:asciiTheme="minorHAnsi" w:hAnsiTheme="minorHAnsi" w:cstheme="minorHAnsi"/>
          <w:sz w:val="20"/>
          <w:szCs w:val="20"/>
        </w:rPr>
        <w:t xml:space="preserve">Financial Management </w:t>
      </w:r>
    </w:p>
    <w:p w14:paraId="760C58A6" w14:textId="77777777" w:rsidR="00871FD3" w:rsidRPr="003D2AB7" w:rsidRDefault="00FE527E" w:rsidP="00F74EDA">
      <w:pPr>
        <w:spacing w:before="120" w:after="120" w:line="240" w:lineRule="auto"/>
        <w:rPr>
          <w:rFonts w:cstheme="minorHAnsi"/>
          <w:sz w:val="20"/>
          <w:szCs w:val="20"/>
        </w:rPr>
      </w:pPr>
      <w:r w:rsidRPr="003D2AB7">
        <w:rPr>
          <w:rFonts w:cstheme="minorHAnsi"/>
          <w:sz w:val="20"/>
          <w:szCs w:val="20"/>
        </w:rPr>
        <w:t>DPI</w:t>
      </w:r>
      <w:r w:rsidR="00871FD3" w:rsidRPr="003D2AB7">
        <w:rPr>
          <w:rFonts w:cstheme="minorHAnsi"/>
          <w:sz w:val="20"/>
          <w:szCs w:val="20"/>
        </w:rPr>
        <w:t xml:space="preserve"> appear</w:t>
      </w:r>
      <w:r w:rsidR="005133A3" w:rsidRPr="003D2AB7">
        <w:rPr>
          <w:rFonts w:cstheme="minorHAnsi"/>
          <w:sz w:val="20"/>
          <w:szCs w:val="20"/>
        </w:rPr>
        <w:t>s</w:t>
      </w:r>
      <w:r w:rsidR="00871FD3" w:rsidRPr="003D2AB7">
        <w:rPr>
          <w:rFonts w:cstheme="minorHAnsi"/>
          <w:sz w:val="20"/>
          <w:szCs w:val="20"/>
        </w:rPr>
        <w:t xml:space="preserve"> to have appropriate financial management controls in place to manage and monitor </w:t>
      </w:r>
      <w:r w:rsidRPr="003D2AB7">
        <w:rPr>
          <w:rFonts w:cstheme="minorHAnsi"/>
          <w:sz w:val="20"/>
          <w:szCs w:val="20"/>
        </w:rPr>
        <w:t>IFM</w:t>
      </w:r>
      <w:r w:rsidR="00934BB7" w:rsidRPr="003D2AB7">
        <w:rPr>
          <w:rFonts w:cstheme="minorHAnsi"/>
          <w:sz w:val="20"/>
          <w:szCs w:val="20"/>
        </w:rPr>
        <w:t xml:space="preserve"> </w:t>
      </w:r>
      <w:r w:rsidR="00D83A02" w:rsidRPr="003D2AB7">
        <w:rPr>
          <w:rFonts w:cstheme="minorHAnsi"/>
          <w:sz w:val="20"/>
          <w:szCs w:val="20"/>
        </w:rPr>
        <w:t xml:space="preserve">project </w:t>
      </w:r>
      <w:r w:rsidR="00871FD3" w:rsidRPr="003D2AB7">
        <w:rPr>
          <w:rFonts w:cstheme="minorHAnsi"/>
          <w:sz w:val="20"/>
          <w:szCs w:val="20"/>
        </w:rPr>
        <w:t>expendi</w:t>
      </w:r>
      <w:r w:rsidR="005C7F2B" w:rsidRPr="003D2AB7">
        <w:rPr>
          <w:rFonts w:cstheme="minorHAnsi"/>
          <w:sz w:val="20"/>
          <w:szCs w:val="20"/>
        </w:rPr>
        <w:t>ture and acquittal of funds to t</w:t>
      </w:r>
      <w:r w:rsidR="00871FD3" w:rsidRPr="003D2AB7">
        <w:rPr>
          <w:rFonts w:cstheme="minorHAnsi"/>
          <w:sz w:val="20"/>
          <w:szCs w:val="20"/>
        </w:rPr>
        <w:t xml:space="preserve">he Commonwealth. </w:t>
      </w:r>
    </w:p>
    <w:p w14:paraId="52B1D19D" w14:textId="29215082" w:rsidR="00FE527E" w:rsidRPr="003D2AB7" w:rsidRDefault="00453BFA" w:rsidP="00F74EDA">
      <w:pPr>
        <w:spacing w:before="120" w:after="120" w:line="240" w:lineRule="auto"/>
        <w:rPr>
          <w:rFonts w:cstheme="minorHAnsi"/>
          <w:sz w:val="20"/>
          <w:szCs w:val="20"/>
        </w:rPr>
      </w:pPr>
      <w:r w:rsidRPr="003D2AB7">
        <w:rPr>
          <w:rFonts w:cstheme="minorHAnsi"/>
          <w:sz w:val="20"/>
          <w:szCs w:val="20"/>
        </w:rPr>
        <w:t>DPI</w:t>
      </w:r>
      <w:r w:rsidR="00871FD3" w:rsidRPr="003D2AB7">
        <w:rPr>
          <w:rFonts w:cstheme="minorHAnsi"/>
          <w:sz w:val="20"/>
          <w:szCs w:val="20"/>
        </w:rPr>
        <w:t xml:space="preserve"> claim payments </w:t>
      </w:r>
      <w:r w:rsidRPr="003D2AB7">
        <w:rPr>
          <w:rFonts w:cstheme="minorHAnsi"/>
          <w:sz w:val="20"/>
          <w:szCs w:val="20"/>
        </w:rPr>
        <w:t>from the Commonwealth</w:t>
      </w:r>
      <w:r w:rsidR="00FE527E" w:rsidRPr="003D2AB7">
        <w:rPr>
          <w:rFonts w:cstheme="minorHAnsi"/>
          <w:sz w:val="20"/>
          <w:szCs w:val="20"/>
        </w:rPr>
        <w:t xml:space="preserve"> based on milestones outlined in the WMPA project schedule. Progress milestone claims are determined based on </w:t>
      </w:r>
      <w:r w:rsidR="00077952" w:rsidRPr="003D2AB7">
        <w:rPr>
          <w:rFonts w:cstheme="minorHAnsi"/>
          <w:sz w:val="20"/>
          <w:szCs w:val="20"/>
        </w:rPr>
        <w:t xml:space="preserve">a proportion of the </w:t>
      </w:r>
      <w:r w:rsidR="00FE527E" w:rsidRPr="003D2AB7">
        <w:rPr>
          <w:rFonts w:cstheme="minorHAnsi"/>
          <w:sz w:val="20"/>
          <w:szCs w:val="20"/>
        </w:rPr>
        <w:t xml:space="preserve">value of water </w:t>
      </w:r>
      <w:r w:rsidR="00077952" w:rsidRPr="003D2AB7">
        <w:rPr>
          <w:rFonts w:cstheme="minorHAnsi"/>
          <w:sz w:val="20"/>
          <w:szCs w:val="20"/>
        </w:rPr>
        <w:t xml:space="preserve">savings </w:t>
      </w:r>
      <w:r w:rsidR="00FE527E" w:rsidRPr="003D2AB7">
        <w:rPr>
          <w:rFonts w:cstheme="minorHAnsi"/>
          <w:sz w:val="20"/>
          <w:szCs w:val="20"/>
        </w:rPr>
        <w:t>expected to be delivered through approved projects</w:t>
      </w:r>
      <w:r w:rsidR="00077952" w:rsidRPr="003D2AB7">
        <w:rPr>
          <w:rFonts w:cstheme="minorHAnsi"/>
          <w:sz w:val="20"/>
          <w:szCs w:val="20"/>
        </w:rPr>
        <w:t xml:space="preserve"> and transferred to the Commonwealth</w:t>
      </w:r>
      <w:r w:rsidR="00FE527E" w:rsidRPr="003D2AB7">
        <w:rPr>
          <w:rFonts w:cstheme="minorHAnsi"/>
          <w:sz w:val="20"/>
          <w:szCs w:val="20"/>
        </w:rPr>
        <w:t xml:space="preserve">. Funds are expected to contribute to </w:t>
      </w:r>
      <w:r w:rsidR="008609DE" w:rsidRPr="003D2AB7">
        <w:rPr>
          <w:rFonts w:cstheme="minorHAnsi"/>
          <w:sz w:val="20"/>
          <w:szCs w:val="20"/>
        </w:rPr>
        <w:t>proponents’ grants (up to 80%</w:t>
      </w:r>
      <w:r w:rsidR="00BE31D8" w:rsidRPr="003D2AB7">
        <w:rPr>
          <w:rFonts w:cstheme="minorHAnsi"/>
          <w:sz w:val="20"/>
          <w:szCs w:val="20"/>
        </w:rPr>
        <w:t>of</w:t>
      </w:r>
      <w:r w:rsidR="008609DE" w:rsidRPr="003D2AB7">
        <w:rPr>
          <w:rFonts w:cstheme="minorHAnsi"/>
          <w:sz w:val="20"/>
          <w:szCs w:val="20"/>
        </w:rPr>
        <w:t xml:space="preserve"> proponent costs) and project delivery / administration. Any expenditure in excess of the Commonwealth funding provided must be covered by the NSW </w:t>
      </w:r>
      <w:r w:rsidR="00314AD5" w:rsidRPr="003D2AB7">
        <w:rPr>
          <w:rFonts w:cstheme="minorHAnsi"/>
          <w:sz w:val="20"/>
          <w:szCs w:val="20"/>
        </w:rPr>
        <w:t>G</w:t>
      </w:r>
      <w:r w:rsidR="008609DE" w:rsidRPr="003D2AB7">
        <w:rPr>
          <w:rFonts w:cstheme="minorHAnsi"/>
          <w:sz w:val="20"/>
          <w:szCs w:val="20"/>
        </w:rPr>
        <w:t xml:space="preserve">overnment. </w:t>
      </w:r>
    </w:p>
    <w:p w14:paraId="0AC350E0" w14:textId="7E1A53E7" w:rsidR="00871FD3" w:rsidRPr="003D2AB7" w:rsidRDefault="00FE527E" w:rsidP="00F74EDA">
      <w:pPr>
        <w:spacing w:before="120" w:after="120" w:line="240" w:lineRule="auto"/>
        <w:rPr>
          <w:rFonts w:cstheme="minorHAnsi"/>
          <w:sz w:val="20"/>
          <w:szCs w:val="20"/>
        </w:rPr>
      </w:pPr>
      <w:r w:rsidRPr="003D2AB7">
        <w:rPr>
          <w:rFonts w:cstheme="minorHAnsi"/>
          <w:sz w:val="20"/>
          <w:szCs w:val="20"/>
        </w:rPr>
        <w:t xml:space="preserve">Payment claims are made in advance of </w:t>
      </w:r>
      <w:r w:rsidR="006A2D6A" w:rsidRPr="003D2AB7">
        <w:rPr>
          <w:rFonts w:cstheme="minorHAnsi"/>
          <w:sz w:val="20"/>
          <w:szCs w:val="20"/>
        </w:rPr>
        <w:t xml:space="preserve">actual </w:t>
      </w:r>
      <w:r w:rsidRPr="003D2AB7">
        <w:rPr>
          <w:rFonts w:cstheme="minorHAnsi"/>
          <w:sz w:val="20"/>
          <w:szCs w:val="20"/>
        </w:rPr>
        <w:t xml:space="preserve">expenditure. </w:t>
      </w:r>
      <w:r w:rsidR="006A2D6A" w:rsidRPr="003D2AB7">
        <w:rPr>
          <w:rFonts w:cstheme="minorHAnsi"/>
          <w:sz w:val="20"/>
          <w:szCs w:val="20"/>
        </w:rPr>
        <w:t xml:space="preserve">Whilst </w:t>
      </w:r>
      <w:r w:rsidRPr="003D2AB7">
        <w:rPr>
          <w:rFonts w:cstheme="minorHAnsi"/>
          <w:sz w:val="20"/>
          <w:szCs w:val="20"/>
        </w:rPr>
        <w:t>an annual rolling budget is set</w:t>
      </w:r>
      <w:r w:rsidR="00257432" w:rsidRPr="003D2AB7">
        <w:rPr>
          <w:rFonts w:cstheme="minorHAnsi"/>
          <w:sz w:val="20"/>
          <w:szCs w:val="20"/>
        </w:rPr>
        <w:t>,</w:t>
      </w:r>
      <w:r w:rsidRPr="003D2AB7">
        <w:rPr>
          <w:rFonts w:cstheme="minorHAnsi"/>
          <w:sz w:val="20"/>
          <w:szCs w:val="20"/>
        </w:rPr>
        <w:t xml:space="preserve"> fund</w:t>
      </w:r>
      <w:r w:rsidR="006A2D6A" w:rsidRPr="003D2AB7">
        <w:rPr>
          <w:rFonts w:cstheme="minorHAnsi"/>
          <w:sz w:val="20"/>
          <w:szCs w:val="20"/>
        </w:rPr>
        <w:t>s</w:t>
      </w:r>
      <w:r w:rsidRPr="003D2AB7">
        <w:rPr>
          <w:rFonts w:cstheme="minorHAnsi"/>
          <w:sz w:val="20"/>
          <w:szCs w:val="20"/>
        </w:rPr>
        <w:t xml:space="preserve"> are drawn down </w:t>
      </w:r>
      <w:r w:rsidR="00BE31D8" w:rsidRPr="003D2AB7">
        <w:rPr>
          <w:rFonts w:cstheme="minorHAnsi"/>
          <w:sz w:val="20"/>
          <w:szCs w:val="20"/>
        </w:rPr>
        <w:t xml:space="preserve">from </w:t>
      </w:r>
      <w:r w:rsidRPr="003D2AB7">
        <w:rPr>
          <w:rFonts w:cstheme="minorHAnsi"/>
          <w:sz w:val="20"/>
          <w:szCs w:val="20"/>
        </w:rPr>
        <w:t xml:space="preserve">the NSW Treasury as required to </w:t>
      </w:r>
      <w:r w:rsidR="008609DE" w:rsidRPr="003D2AB7">
        <w:rPr>
          <w:rFonts w:cstheme="minorHAnsi"/>
          <w:sz w:val="20"/>
          <w:szCs w:val="20"/>
        </w:rPr>
        <w:t>meet expenditure needs.</w:t>
      </w:r>
      <w:r w:rsidRPr="003D2AB7">
        <w:rPr>
          <w:rFonts w:cstheme="minorHAnsi"/>
          <w:sz w:val="20"/>
          <w:szCs w:val="20"/>
        </w:rPr>
        <w:t xml:space="preserve"> As per the WMPA, any interest incurred from holding funds will be returned to the Commonwealth. An estimate of interest incurred is calculated on a </w:t>
      </w:r>
      <w:r w:rsidR="00314AD5" w:rsidRPr="003D2AB7">
        <w:rPr>
          <w:rFonts w:cstheme="minorHAnsi"/>
          <w:sz w:val="20"/>
          <w:szCs w:val="20"/>
        </w:rPr>
        <w:t>six</w:t>
      </w:r>
      <w:r w:rsidRPr="003D2AB7">
        <w:rPr>
          <w:rFonts w:cstheme="minorHAnsi"/>
          <w:sz w:val="20"/>
          <w:szCs w:val="20"/>
        </w:rPr>
        <w:t xml:space="preserve"> monthly basis</w:t>
      </w:r>
      <w:r w:rsidR="00BC3516" w:rsidRPr="003D2AB7">
        <w:rPr>
          <w:rFonts w:cstheme="minorHAnsi"/>
          <w:sz w:val="20"/>
          <w:szCs w:val="20"/>
        </w:rPr>
        <w:t xml:space="preserve"> and reported to the DAWR</w:t>
      </w:r>
      <w:r w:rsidRPr="003D2AB7">
        <w:rPr>
          <w:rFonts w:cstheme="minorHAnsi"/>
          <w:sz w:val="20"/>
          <w:szCs w:val="20"/>
        </w:rPr>
        <w:t xml:space="preserve">. </w:t>
      </w:r>
      <w:r w:rsidR="00257432" w:rsidRPr="003D2AB7">
        <w:rPr>
          <w:rFonts w:cstheme="minorHAnsi"/>
          <w:sz w:val="20"/>
          <w:szCs w:val="20"/>
        </w:rPr>
        <w:t>DPI have established process</w:t>
      </w:r>
      <w:r w:rsidR="00BE31D8" w:rsidRPr="003D2AB7">
        <w:rPr>
          <w:rFonts w:cstheme="minorHAnsi"/>
          <w:sz w:val="20"/>
          <w:szCs w:val="20"/>
        </w:rPr>
        <w:t>es</w:t>
      </w:r>
      <w:r w:rsidR="00257432" w:rsidRPr="003D2AB7">
        <w:rPr>
          <w:rFonts w:cstheme="minorHAnsi"/>
          <w:sz w:val="20"/>
          <w:szCs w:val="20"/>
        </w:rPr>
        <w:t xml:space="preserve"> to ensure this is </w:t>
      </w:r>
      <w:r w:rsidRPr="003D2AB7">
        <w:rPr>
          <w:rFonts w:cstheme="minorHAnsi"/>
          <w:sz w:val="20"/>
          <w:szCs w:val="20"/>
        </w:rPr>
        <w:t>subtracted from milestone claims.</w:t>
      </w:r>
    </w:p>
    <w:p w14:paraId="020256E1" w14:textId="77777777" w:rsidR="008A1D3C" w:rsidRPr="003D2AB7" w:rsidRDefault="00FE527E" w:rsidP="00F74EDA">
      <w:pPr>
        <w:spacing w:before="120" w:after="120" w:line="240" w:lineRule="auto"/>
        <w:rPr>
          <w:rFonts w:cstheme="minorHAnsi"/>
          <w:sz w:val="20"/>
          <w:szCs w:val="20"/>
        </w:rPr>
      </w:pPr>
      <w:r w:rsidRPr="003D2AB7">
        <w:rPr>
          <w:rFonts w:cstheme="minorHAnsi"/>
          <w:sz w:val="20"/>
          <w:szCs w:val="20"/>
        </w:rPr>
        <w:t>In addition to the</w:t>
      </w:r>
      <w:r w:rsidR="006A2D6A" w:rsidRPr="003D2AB7">
        <w:rPr>
          <w:rFonts w:cstheme="minorHAnsi"/>
          <w:sz w:val="20"/>
          <w:szCs w:val="20"/>
        </w:rPr>
        <w:t xml:space="preserve"> annual</w:t>
      </w:r>
      <w:r w:rsidRPr="003D2AB7">
        <w:rPr>
          <w:rFonts w:cstheme="minorHAnsi"/>
          <w:sz w:val="20"/>
          <w:szCs w:val="20"/>
        </w:rPr>
        <w:t xml:space="preserve"> preparation</w:t>
      </w:r>
      <w:r w:rsidR="008A1D3C" w:rsidRPr="003D2AB7">
        <w:rPr>
          <w:rFonts w:cstheme="minorHAnsi"/>
          <w:sz w:val="20"/>
          <w:szCs w:val="20"/>
        </w:rPr>
        <w:t xml:space="preserve"> </w:t>
      </w:r>
      <w:r w:rsidRPr="003D2AB7">
        <w:rPr>
          <w:rFonts w:cstheme="minorHAnsi"/>
          <w:sz w:val="20"/>
          <w:szCs w:val="20"/>
        </w:rPr>
        <w:t>of</w:t>
      </w:r>
      <w:r w:rsidR="00343111" w:rsidRPr="003D2AB7">
        <w:rPr>
          <w:rFonts w:cstheme="minorHAnsi"/>
          <w:sz w:val="20"/>
          <w:szCs w:val="20"/>
        </w:rPr>
        <w:t xml:space="preserve"> special purpose </w:t>
      </w:r>
      <w:r w:rsidR="008A1D3C" w:rsidRPr="003D2AB7">
        <w:rPr>
          <w:rFonts w:cstheme="minorHAnsi"/>
          <w:sz w:val="20"/>
          <w:szCs w:val="20"/>
        </w:rPr>
        <w:t>audited financial statements</w:t>
      </w:r>
      <w:r w:rsidRPr="003D2AB7">
        <w:rPr>
          <w:rFonts w:cstheme="minorHAnsi"/>
          <w:sz w:val="20"/>
          <w:szCs w:val="20"/>
        </w:rPr>
        <w:t>, DPI provide a summary of income and expenditure to the Commonwealth, via milestone progress reports and quarterly highlight reports. These reports include an estimate of any interest that may have been incurred.</w:t>
      </w:r>
    </w:p>
    <w:p w14:paraId="2ECB9D60" w14:textId="77777777" w:rsidR="003E345A" w:rsidRPr="003D2AB7" w:rsidRDefault="003E345A" w:rsidP="000722AF">
      <w:pPr>
        <w:pStyle w:val="Heading2"/>
        <w:rPr>
          <w:rFonts w:asciiTheme="minorHAnsi" w:hAnsiTheme="minorHAnsi" w:cstheme="minorHAnsi"/>
        </w:rPr>
      </w:pPr>
      <w:bookmarkStart w:id="21" w:name="_Toc532474955"/>
      <w:r w:rsidRPr="003D2AB7">
        <w:rPr>
          <w:rFonts w:asciiTheme="minorHAnsi" w:hAnsiTheme="minorHAnsi" w:cstheme="minorHAnsi"/>
        </w:rPr>
        <w:t>Stakeholder engagement</w:t>
      </w:r>
      <w:bookmarkEnd w:id="21"/>
      <w:r w:rsidRPr="003D2AB7">
        <w:rPr>
          <w:rFonts w:asciiTheme="minorHAnsi" w:hAnsiTheme="minorHAnsi" w:cstheme="minorHAnsi"/>
        </w:rPr>
        <w:t xml:space="preserve"> </w:t>
      </w:r>
    </w:p>
    <w:p w14:paraId="54614916" w14:textId="77777777" w:rsidR="00D83A02" w:rsidRPr="003D2AB7" w:rsidRDefault="00173469" w:rsidP="00F74EDA">
      <w:pPr>
        <w:shd w:val="clear" w:color="auto" w:fill="E7E6E6" w:themeFill="background2"/>
        <w:rPr>
          <w:rFonts w:cstheme="minorHAnsi"/>
          <w:i/>
          <w:sz w:val="20"/>
          <w:szCs w:val="20"/>
        </w:rPr>
      </w:pPr>
      <w:r w:rsidRPr="003D2AB7">
        <w:rPr>
          <w:rFonts w:cstheme="minorHAnsi"/>
          <w:i/>
          <w:sz w:val="20"/>
          <w:szCs w:val="20"/>
        </w:rPr>
        <w:t xml:space="preserve">Various mechanisms for engaging and communicating with industry and community stakeholders have been implemented. DPI have demonstrated commitment to engaging with stakeholders through regular and ongoing engagement activities. </w:t>
      </w:r>
    </w:p>
    <w:p w14:paraId="333DC056" w14:textId="77777777" w:rsidR="00B74502" w:rsidRPr="003D2AB7" w:rsidRDefault="00B74502" w:rsidP="00B74502">
      <w:pPr>
        <w:rPr>
          <w:rFonts w:cstheme="minorHAnsi"/>
          <w:sz w:val="20"/>
          <w:szCs w:val="20"/>
        </w:rPr>
      </w:pPr>
      <w:r w:rsidRPr="003D2AB7">
        <w:rPr>
          <w:rFonts w:cstheme="minorHAnsi"/>
          <w:sz w:val="20"/>
          <w:szCs w:val="20"/>
        </w:rPr>
        <w:t>DPI undertake a range of industry and community communication engagement activities to ensure the provision of regular, timely and accurate project information. Some of these include industry forums, radio announcement</w:t>
      </w:r>
      <w:r w:rsidR="006A2D6A" w:rsidRPr="003D2AB7">
        <w:rPr>
          <w:rFonts w:cstheme="minorHAnsi"/>
          <w:sz w:val="20"/>
          <w:szCs w:val="20"/>
        </w:rPr>
        <w:t xml:space="preserve">s, </w:t>
      </w:r>
      <w:r w:rsidRPr="003D2AB7">
        <w:rPr>
          <w:rFonts w:cstheme="minorHAnsi"/>
          <w:sz w:val="20"/>
          <w:szCs w:val="20"/>
        </w:rPr>
        <w:t xml:space="preserve">social media and industry briefings. DPI maintain a </w:t>
      </w:r>
      <w:r w:rsidRPr="003D2AB7">
        <w:rPr>
          <w:rFonts w:cstheme="minorHAnsi"/>
          <w:i/>
          <w:sz w:val="20"/>
          <w:szCs w:val="20"/>
        </w:rPr>
        <w:t>Communication and Engagement register</w:t>
      </w:r>
      <w:r w:rsidRPr="003D2AB7">
        <w:rPr>
          <w:rFonts w:cstheme="minorHAnsi"/>
          <w:sz w:val="20"/>
          <w:szCs w:val="20"/>
        </w:rPr>
        <w:t xml:space="preserve"> that details all IFM stakeholder activities. It provides a record of stakeholder activity and engagement for the IFM </w:t>
      </w:r>
      <w:r w:rsidR="009F452D" w:rsidRPr="003D2AB7">
        <w:rPr>
          <w:rFonts w:cstheme="minorHAnsi"/>
          <w:sz w:val="20"/>
          <w:szCs w:val="20"/>
        </w:rPr>
        <w:t>project</w:t>
      </w:r>
      <w:r w:rsidRPr="003D2AB7">
        <w:rPr>
          <w:rFonts w:cstheme="minorHAnsi"/>
          <w:sz w:val="20"/>
          <w:szCs w:val="20"/>
        </w:rPr>
        <w:t xml:space="preserve"> linked to overarching communication and engagement objectives. A summary of promotional and communication activities is provided to the Commonwealth as part of mil</w:t>
      </w:r>
      <w:r w:rsidR="006A2D6A" w:rsidRPr="003D2AB7">
        <w:rPr>
          <w:rFonts w:cstheme="minorHAnsi"/>
          <w:sz w:val="20"/>
          <w:szCs w:val="20"/>
        </w:rPr>
        <w:t>e</w:t>
      </w:r>
      <w:r w:rsidRPr="003D2AB7">
        <w:rPr>
          <w:rFonts w:cstheme="minorHAnsi"/>
          <w:sz w:val="20"/>
          <w:szCs w:val="20"/>
        </w:rPr>
        <w:t>stone progress reports, which is informed by the Communication and Engagement register</w:t>
      </w:r>
      <w:r w:rsidRPr="003D2AB7">
        <w:rPr>
          <w:rFonts w:cstheme="minorHAnsi"/>
          <w:i/>
          <w:sz w:val="20"/>
          <w:szCs w:val="20"/>
        </w:rPr>
        <w:t xml:space="preserve">. </w:t>
      </w:r>
      <w:r w:rsidRPr="003D2AB7">
        <w:rPr>
          <w:rFonts w:cstheme="minorHAnsi"/>
          <w:sz w:val="20"/>
          <w:szCs w:val="20"/>
        </w:rPr>
        <w:t xml:space="preserve"> </w:t>
      </w:r>
    </w:p>
    <w:p w14:paraId="630879EF" w14:textId="77777777" w:rsidR="00B74502" w:rsidRPr="003D2AB7" w:rsidRDefault="00B74502" w:rsidP="00B74502">
      <w:pPr>
        <w:rPr>
          <w:rFonts w:cstheme="minorHAnsi"/>
          <w:sz w:val="20"/>
          <w:szCs w:val="20"/>
        </w:rPr>
      </w:pPr>
      <w:r w:rsidRPr="003D2AB7">
        <w:rPr>
          <w:rFonts w:cstheme="minorHAnsi"/>
          <w:sz w:val="20"/>
          <w:szCs w:val="20"/>
        </w:rPr>
        <w:t xml:space="preserve">DPI noted that a </w:t>
      </w:r>
      <w:r w:rsidRPr="003D2AB7">
        <w:rPr>
          <w:rFonts w:cstheme="minorHAnsi"/>
          <w:i/>
          <w:sz w:val="20"/>
          <w:szCs w:val="20"/>
        </w:rPr>
        <w:t>Communication Plan</w:t>
      </w:r>
      <w:r w:rsidRPr="003D2AB7">
        <w:rPr>
          <w:rFonts w:cstheme="minorHAnsi"/>
          <w:sz w:val="20"/>
          <w:szCs w:val="20"/>
        </w:rPr>
        <w:t xml:space="preserve"> was developed for each round </w:t>
      </w:r>
      <w:r w:rsidR="006A2D6A" w:rsidRPr="003D2AB7">
        <w:rPr>
          <w:rFonts w:cstheme="minorHAnsi"/>
          <w:sz w:val="20"/>
          <w:szCs w:val="20"/>
        </w:rPr>
        <w:t>to highlight</w:t>
      </w:r>
      <w:r w:rsidRPr="003D2AB7">
        <w:rPr>
          <w:rFonts w:cstheme="minorHAnsi"/>
          <w:sz w:val="20"/>
          <w:szCs w:val="20"/>
        </w:rPr>
        <w:t xml:space="preserve"> key events</w:t>
      </w:r>
      <w:r w:rsidR="003C7309" w:rsidRPr="003D2AB7">
        <w:rPr>
          <w:rFonts w:cstheme="minorHAnsi"/>
          <w:sz w:val="20"/>
          <w:szCs w:val="20"/>
        </w:rPr>
        <w:t>,</w:t>
      </w:r>
      <w:r w:rsidRPr="003D2AB7">
        <w:rPr>
          <w:rFonts w:cstheme="minorHAnsi"/>
          <w:sz w:val="20"/>
          <w:szCs w:val="20"/>
        </w:rPr>
        <w:t xml:space="preserve"> as well as communication risks and mitigations (and associated evaluation measures) surrounding potentially contentious </w:t>
      </w:r>
      <w:r w:rsidR="009F452D" w:rsidRPr="003D2AB7">
        <w:rPr>
          <w:rFonts w:cstheme="minorHAnsi"/>
          <w:sz w:val="20"/>
          <w:szCs w:val="20"/>
        </w:rPr>
        <w:t>project</w:t>
      </w:r>
      <w:r w:rsidRPr="003D2AB7">
        <w:rPr>
          <w:rFonts w:cstheme="minorHAnsi"/>
          <w:sz w:val="20"/>
          <w:szCs w:val="20"/>
        </w:rPr>
        <w:t xml:space="preserve"> issues. DPI noted that </w:t>
      </w:r>
      <w:r w:rsidRPr="003D2AB7">
        <w:rPr>
          <w:rFonts w:cstheme="minorHAnsi"/>
          <w:i/>
          <w:sz w:val="20"/>
          <w:szCs w:val="20"/>
        </w:rPr>
        <w:t>Stakeholder Engagement plans</w:t>
      </w:r>
      <w:r w:rsidRPr="003D2AB7">
        <w:rPr>
          <w:rFonts w:cstheme="minorHAnsi"/>
          <w:sz w:val="20"/>
          <w:szCs w:val="20"/>
        </w:rPr>
        <w:t xml:space="preserve"> were also developed each round to promote consistent messaging about the </w:t>
      </w:r>
      <w:r w:rsidR="009F452D" w:rsidRPr="003D2AB7">
        <w:rPr>
          <w:rFonts w:cstheme="minorHAnsi"/>
          <w:sz w:val="20"/>
          <w:szCs w:val="20"/>
        </w:rPr>
        <w:t>project</w:t>
      </w:r>
      <w:r w:rsidRPr="003D2AB7">
        <w:rPr>
          <w:rFonts w:cstheme="minorHAnsi"/>
          <w:sz w:val="20"/>
          <w:szCs w:val="20"/>
        </w:rPr>
        <w:t xml:space="preserve"> and to list the key activities and timeframes. </w:t>
      </w:r>
    </w:p>
    <w:p w14:paraId="573AA5BB" w14:textId="77777777" w:rsidR="00BB52E9" w:rsidRPr="003D2AB7" w:rsidRDefault="00BB52E9" w:rsidP="00B74502">
      <w:pPr>
        <w:rPr>
          <w:rFonts w:cstheme="minorHAnsi"/>
          <w:sz w:val="20"/>
          <w:szCs w:val="20"/>
        </w:rPr>
      </w:pPr>
      <w:r w:rsidRPr="003D2AB7">
        <w:rPr>
          <w:rFonts w:cstheme="minorHAnsi"/>
          <w:sz w:val="20"/>
          <w:szCs w:val="20"/>
        </w:rPr>
        <w:t xml:space="preserve">DPI established an industry reference group to gather input and engage with industry groups for irrigated agriculture in relevant catchment areas. Meetings were held </w:t>
      </w:r>
      <w:r w:rsidR="006A2D6A" w:rsidRPr="003D2AB7">
        <w:rPr>
          <w:rFonts w:cstheme="minorHAnsi"/>
          <w:sz w:val="20"/>
          <w:szCs w:val="20"/>
        </w:rPr>
        <w:t xml:space="preserve">between </w:t>
      </w:r>
      <w:r w:rsidRPr="003D2AB7">
        <w:rPr>
          <w:rFonts w:cstheme="minorHAnsi"/>
          <w:sz w:val="20"/>
          <w:szCs w:val="20"/>
        </w:rPr>
        <w:t xml:space="preserve">two </w:t>
      </w:r>
      <w:r w:rsidR="006A2D6A" w:rsidRPr="003D2AB7">
        <w:rPr>
          <w:rFonts w:cstheme="minorHAnsi"/>
          <w:sz w:val="20"/>
          <w:szCs w:val="20"/>
        </w:rPr>
        <w:t xml:space="preserve">to </w:t>
      </w:r>
      <w:r w:rsidRPr="003D2AB7">
        <w:rPr>
          <w:rFonts w:cstheme="minorHAnsi"/>
          <w:sz w:val="20"/>
          <w:szCs w:val="20"/>
        </w:rPr>
        <w:t xml:space="preserve">four times </w:t>
      </w:r>
      <w:r w:rsidR="006A2D6A" w:rsidRPr="003D2AB7">
        <w:rPr>
          <w:rFonts w:cstheme="minorHAnsi"/>
          <w:sz w:val="20"/>
          <w:szCs w:val="20"/>
        </w:rPr>
        <w:t>per year</w:t>
      </w:r>
      <w:r w:rsidRPr="003D2AB7">
        <w:rPr>
          <w:rFonts w:cstheme="minorHAnsi"/>
          <w:sz w:val="20"/>
          <w:szCs w:val="20"/>
        </w:rPr>
        <w:t xml:space="preserve">, generally aligned to coincide with major project activity.   </w:t>
      </w:r>
    </w:p>
    <w:p w14:paraId="7FF4E3F3" w14:textId="77777777" w:rsidR="00B74502" w:rsidRPr="003D2AB7" w:rsidRDefault="00B74502" w:rsidP="00B74502">
      <w:pPr>
        <w:rPr>
          <w:rFonts w:cstheme="minorHAnsi"/>
          <w:sz w:val="20"/>
          <w:szCs w:val="20"/>
        </w:rPr>
      </w:pPr>
      <w:r w:rsidRPr="003D2AB7">
        <w:rPr>
          <w:rFonts w:cstheme="minorHAnsi"/>
          <w:sz w:val="20"/>
          <w:szCs w:val="20"/>
        </w:rPr>
        <w:t xml:space="preserve">DPI’s primary engagement forum with the Commonwealth </w:t>
      </w:r>
      <w:r w:rsidR="006A2D6A" w:rsidRPr="003D2AB7">
        <w:rPr>
          <w:rFonts w:cstheme="minorHAnsi"/>
          <w:sz w:val="20"/>
          <w:szCs w:val="20"/>
        </w:rPr>
        <w:t xml:space="preserve">is through the </w:t>
      </w:r>
      <w:r w:rsidRPr="003D2AB7">
        <w:rPr>
          <w:rFonts w:cstheme="minorHAnsi"/>
          <w:sz w:val="20"/>
          <w:szCs w:val="20"/>
        </w:rPr>
        <w:t xml:space="preserve">quarterly PGG meetings. This </w:t>
      </w:r>
      <w:r w:rsidR="00BB52E9" w:rsidRPr="003D2AB7">
        <w:rPr>
          <w:rFonts w:cstheme="minorHAnsi"/>
          <w:sz w:val="20"/>
          <w:szCs w:val="20"/>
        </w:rPr>
        <w:t>is</w:t>
      </w:r>
      <w:r w:rsidRPr="003D2AB7">
        <w:rPr>
          <w:rFonts w:cstheme="minorHAnsi"/>
          <w:sz w:val="20"/>
          <w:szCs w:val="20"/>
        </w:rPr>
        <w:t xml:space="preserve"> supplemented by </w:t>
      </w:r>
      <w:r w:rsidR="00BB52E9" w:rsidRPr="003D2AB7">
        <w:rPr>
          <w:rFonts w:cstheme="minorHAnsi"/>
          <w:sz w:val="20"/>
          <w:szCs w:val="20"/>
        </w:rPr>
        <w:t xml:space="preserve">ad hoc communications as required. </w:t>
      </w:r>
    </w:p>
    <w:p w14:paraId="70D9EC7E" w14:textId="77777777" w:rsidR="00B74502" w:rsidRPr="003D2AB7" w:rsidRDefault="00B74502" w:rsidP="00B745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Training and capacity building </w:t>
      </w:r>
    </w:p>
    <w:p w14:paraId="73528A7E" w14:textId="75906AF7" w:rsidR="00B74502" w:rsidRPr="003D2AB7" w:rsidRDefault="00B74502" w:rsidP="00B74502">
      <w:pPr>
        <w:rPr>
          <w:rFonts w:cstheme="minorHAnsi"/>
          <w:sz w:val="20"/>
          <w:szCs w:val="20"/>
        </w:rPr>
      </w:pPr>
      <w:r w:rsidRPr="003D2AB7">
        <w:rPr>
          <w:rFonts w:cstheme="minorHAnsi"/>
          <w:sz w:val="20"/>
          <w:szCs w:val="20"/>
        </w:rPr>
        <w:t xml:space="preserve">Throughout the life of the project, DPI in conjunction with services providers, undertook industry stakeholder consultation and interviews to understand information gaps and inform training needs and capacity building activities. In addition, when applying for IFWUEA funding, applicants were asked to nominate training topics of interest.  The feedback collected through these mechanisms was used to assist with ensuring that training, information and capacity building was targeted to meet both the needs of the </w:t>
      </w:r>
      <w:r w:rsidR="009F452D" w:rsidRPr="003D2AB7">
        <w:rPr>
          <w:rFonts w:cstheme="minorHAnsi"/>
          <w:sz w:val="20"/>
          <w:szCs w:val="20"/>
        </w:rPr>
        <w:t>project</w:t>
      </w:r>
      <w:r w:rsidRPr="003D2AB7">
        <w:rPr>
          <w:rFonts w:cstheme="minorHAnsi"/>
          <w:sz w:val="20"/>
          <w:szCs w:val="20"/>
        </w:rPr>
        <w:t xml:space="preserve"> and the irrigators and was delivered in an appropriate manner i.e. face-to-face, bus tours, and </w:t>
      </w:r>
      <w:r w:rsidR="006A2D6A" w:rsidRPr="003D2AB7">
        <w:rPr>
          <w:rFonts w:cstheme="minorHAnsi"/>
          <w:sz w:val="20"/>
          <w:szCs w:val="20"/>
        </w:rPr>
        <w:t xml:space="preserve">in </w:t>
      </w:r>
      <w:r w:rsidRPr="003D2AB7">
        <w:rPr>
          <w:rFonts w:cstheme="minorHAnsi"/>
          <w:sz w:val="20"/>
          <w:szCs w:val="20"/>
        </w:rPr>
        <w:t>collaboration with third parties. DPI demonstrated their focus on continuous improvement by requesting course feedback</w:t>
      </w:r>
      <w:r w:rsidR="00BB52E9" w:rsidRPr="003D2AB7">
        <w:rPr>
          <w:rFonts w:cstheme="minorHAnsi"/>
          <w:sz w:val="20"/>
          <w:szCs w:val="20"/>
        </w:rPr>
        <w:t>.</w:t>
      </w:r>
      <w:r w:rsidRPr="003D2AB7">
        <w:rPr>
          <w:rFonts w:cstheme="minorHAnsi"/>
          <w:sz w:val="20"/>
          <w:szCs w:val="20"/>
        </w:rPr>
        <w:t xml:space="preserve"> The capacity building and training opportunities offered throughout the </w:t>
      </w:r>
      <w:r w:rsidR="009F452D" w:rsidRPr="003D2AB7">
        <w:rPr>
          <w:rFonts w:cstheme="minorHAnsi"/>
          <w:sz w:val="20"/>
          <w:szCs w:val="20"/>
        </w:rPr>
        <w:t>project</w:t>
      </w:r>
      <w:r w:rsidRPr="003D2AB7">
        <w:rPr>
          <w:rFonts w:cstheme="minorHAnsi"/>
          <w:sz w:val="20"/>
          <w:szCs w:val="20"/>
        </w:rPr>
        <w:t xml:space="preserve"> demonstrates DPI</w:t>
      </w:r>
      <w:r w:rsidR="0026752F" w:rsidRPr="003D2AB7">
        <w:rPr>
          <w:rFonts w:cstheme="minorHAnsi"/>
          <w:sz w:val="20"/>
          <w:szCs w:val="20"/>
        </w:rPr>
        <w:t>’</w:t>
      </w:r>
      <w:r w:rsidRPr="003D2AB7">
        <w:rPr>
          <w:rFonts w:cstheme="minorHAnsi"/>
          <w:sz w:val="20"/>
          <w:szCs w:val="20"/>
        </w:rPr>
        <w:t xml:space="preserve">s commitment to developing the industry and assisting with the success of both the </w:t>
      </w:r>
      <w:r w:rsidR="00544EEB" w:rsidRPr="003D2AB7">
        <w:rPr>
          <w:rFonts w:cstheme="minorHAnsi"/>
          <w:sz w:val="20"/>
          <w:szCs w:val="20"/>
        </w:rPr>
        <w:t xml:space="preserve">IFM </w:t>
      </w:r>
      <w:r w:rsidR="009F452D" w:rsidRPr="003D2AB7">
        <w:rPr>
          <w:rFonts w:cstheme="minorHAnsi"/>
          <w:sz w:val="20"/>
          <w:szCs w:val="20"/>
        </w:rPr>
        <w:t>project</w:t>
      </w:r>
      <w:r w:rsidRPr="003D2AB7">
        <w:rPr>
          <w:rFonts w:cstheme="minorHAnsi"/>
          <w:sz w:val="20"/>
          <w:szCs w:val="20"/>
        </w:rPr>
        <w:t xml:space="preserve"> and individual projects.</w:t>
      </w:r>
    </w:p>
    <w:p w14:paraId="4097F331" w14:textId="77777777" w:rsidR="003E73C2" w:rsidRPr="003D2AB7" w:rsidRDefault="003E73C2" w:rsidP="00F74EDA">
      <w:pPr>
        <w:spacing w:before="120" w:after="120" w:line="240" w:lineRule="auto"/>
        <w:rPr>
          <w:rFonts w:cstheme="minorHAnsi"/>
          <w:sz w:val="20"/>
          <w:szCs w:val="20"/>
        </w:rPr>
      </w:pPr>
      <w:r w:rsidRPr="003D2AB7">
        <w:rPr>
          <w:rFonts w:cstheme="minorHAnsi"/>
          <w:sz w:val="20"/>
          <w:szCs w:val="20"/>
        </w:rPr>
        <w:t>KPMG did not identify any non-compliance or control weaknesses related to stakeholder engagement</w:t>
      </w:r>
      <w:r w:rsidR="00BB52E9" w:rsidRPr="003D2AB7">
        <w:rPr>
          <w:rFonts w:cstheme="minorHAnsi"/>
          <w:sz w:val="20"/>
          <w:szCs w:val="20"/>
        </w:rPr>
        <w:t xml:space="preserve"> and communication</w:t>
      </w:r>
      <w:r w:rsidRPr="003D2AB7">
        <w:rPr>
          <w:rFonts w:cstheme="minorHAnsi"/>
          <w:sz w:val="20"/>
          <w:szCs w:val="20"/>
        </w:rPr>
        <w:t>.</w:t>
      </w:r>
    </w:p>
    <w:p w14:paraId="20597C8A" w14:textId="77777777" w:rsidR="007819D3" w:rsidRPr="003D2AB7" w:rsidRDefault="00871FD3" w:rsidP="00BB52E9">
      <w:pPr>
        <w:pStyle w:val="Heading2"/>
        <w:rPr>
          <w:rFonts w:asciiTheme="minorHAnsi" w:hAnsiTheme="minorHAnsi" w:cstheme="minorHAnsi"/>
        </w:rPr>
      </w:pPr>
      <w:bookmarkStart w:id="22" w:name="_Toc532474956"/>
      <w:r w:rsidRPr="003D2AB7">
        <w:rPr>
          <w:rFonts w:asciiTheme="minorHAnsi" w:hAnsiTheme="minorHAnsi" w:cstheme="minorHAnsi"/>
        </w:rPr>
        <w:t>Water transfer</w:t>
      </w:r>
      <w:bookmarkEnd w:id="22"/>
    </w:p>
    <w:p w14:paraId="240B7687" w14:textId="77777777" w:rsidR="007819D3" w:rsidRPr="003D2AB7" w:rsidRDefault="00DA5FB1" w:rsidP="00F74EDA">
      <w:pPr>
        <w:shd w:val="clear" w:color="auto" w:fill="E7E6E6" w:themeFill="background2"/>
        <w:spacing w:before="120" w:after="120" w:line="240" w:lineRule="auto"/>
        <w:ind w:right="68"/>
        <w:rPr>
          <w:rFonts w:cstheme="minorHAnsi"/>
          <w:i/>
          <w:sz w:val="20"/>
          <w:szCs w:val="20"/>
        </w:rPr>
      </w:pPr>
      <w:r w:rsidRPr="003D2AB7">
        <w:rPr>
          <w:rFonts w:cstheme="minorHAnsi"/>
          <w:i/>
          <w:sz w:val="20"/>
          <w:szCs w:val="20"/>
        </w:rPr>
        <w:t xml:space="preserve">DPI have </w:t>
      </w:r>
      <w:r w:rsidRPr="003D2AB7">
        <w:rPr>
          <w:rFonts w:cstheme="minorHAnsi"/>
          <w:sz w:val="20"/>
          <w:szCs w:val="20"/>
        </w:rPr>
        <w:t xml:space="preserve">established appropriate processes and procedures to facilitate the transfer of water savings to the Commonwealth in accordance with </w:t>
      </w:r>
      <w:r w:rsidR="005A331E" w:rsidRPr="003D2AB7">
        <w:rPr>
          <w:rFonts w:cstheme="minorHAnsi"/>
          <w:sz w:val="20"/>
          <w:szCs w:val="20"/>
        </w:rPr>
        <w:t xml:space="preserve">the </w:t>
      </w:r>
      <w:r w:rsidRPr="003D2AB7">
        <w:rPr>
          <w:rFonts w:cstheme="minorHAnsi"/>
          <w:sz w:val="20"/>
          <w:szCs w:val="20"/>
        </w:rPr>
        <w:t>WMPA.</w:t>
      </w:r>
      <w:r w:rsidR="00474DAB" w:rsidRPr="003D2AB7">
        <w:rPr>
          <w:rFonts w:cstheme="minorHAnsi"/>
          <w:i/>
          <w:sz w:val="20"/>
          <w:szCs w:val="20"/>
        </w:rPr>
        <w:t xml:space="preserve"> </w:t>
      </w:r>
    </w:p>
    <w:p w14:paraId="66CEDBF4" w14:textId="6A0EED40" w:rsidR="00DA5FB1" w:rsidRPr="003D2AB7" w:rsidRDefault="00DA5FB1" w:rsidP="00871FD3">
      <w:pPr>
        <w:spacing w:before="120" w:after="120" w:line="240" w:lineRule="auto"/>
        <w:ind w:right="68"/>
        <w:rPr>
          <w:rFonts w:cstheme="minorHAnsi"/>
          <w:sz w:val="20"/>
          <w:szCs w:val="20"/>
        </w:rPr>
      </w:pPr>
      <w:r w:rsidRPr="003D2AB7">
        <w:rPr>
          <w:rFonts w:cstheme="minorHAnsi"/>
          <w:sz w:val="20"/>
          <w:szCs w:val="20"/>
        </w:rPr>
        <w:t>As per the WMPA, t</w:t>
      </w:r>
      <w:r w:rsidR="00FC5F46" w:rsidRPr="003D2AB7">
        <w:rPr>
          <w:rFonts w:cstheme="minorHAnsi"/>
          <w:sz w:val="20"/>
          <w:szCs w:val="20"/>
        </w:rPr>
        <w:t xml:space="preserve">he </w:t>
      </w:r>
      <w:r w:rsidR="00F617BE" w:rsidRPr="003D2AB7">
        <w:rPr>
          <w:rFonts w:cstheme="minorHAnsi"/>
          <w:sz w:val="20"/>
          <w:szCs w:val="20"/>
        </w:rPr>
        <w:t>IFM</w:t>
      </w:r>
      <w:r w:rsidR="00871FD3" w:rsidRPr="003D2AB7">
        <w:rPr>
          <w:rFonts w:cstheme="minorHAnsi"/>
          <w:sz w:val="20"/>
          <w:szCs w:val="20"/>
        </w:rPr>
        <w:t xml:space="preserve"> project delivers water to the environment through the transfer of at least 50% of proposed water savings achieved through on-farm works to the Commonwealth government. This </w:t>
      </w:r>
      <w:r w:rsidRPr="003D2AB7">
        <w:rPr>
          <w:rFonts w:cstheme="minorHAnsi"/>
          <w:sz w:val="20"/>
          <w:szCs w:val="20"/>
        </w:rPr>
        <w:t xml:space="preserve">is facilitated through a Water Transfer Deed between DPI and the proponent. </w:t>
      </w:r>
      <w:r w:rsidR="000D6F4D" w:rsidRPr="003D2AB7">
        <w:rPr>
          <w:rFonts w:cstheme="minorHAnsi"/>
          <w:sz w:val="20"/>
          <w:szCs w:val="20"/>
        </w:rPr>
        <w:t>Water Access Licence (</w:t>
      </w:r>
      <w:r w:rsidRPr="003D2AB7">
        <w:rPr>
          <w:rFonts w:cstheme="minorHAnsi"/>
          <w:sz w:val="20"/>
          <w:szCs w:val="20"/>
        </w:rPr>
        <w:t>WAL</w:t>
      </w:r>
      <w:r w:rsidR="000D6F4D" w:rsidRPr="003D2AB7">
        <w:rPr>
          <w:rFonts w:cstheme="minorHAnsi"/>
          <w:sz w:val="20"/>
          <w:szCs w:val="20"/>
        </w:rPr>
        <w:t>)</w:t>
      </w:r>
      <w:r w:rsidRPr="003D2AB7">
        <w:rPr>
          <w:rFonts w:cstheme="minorHAnsi"/>
          <w:sz w:val="20"/>
          <w:szCs w:val="20"/>
        </w:rPr>
        <w:t xml:space="preserve"> holders, as identified in the Water Transfer Deed, must transfer a share of their WAL equivalent to at least 50% of proposed water savings</w:t>
      </w:r>
      <w:r w:rsidR="006A2D6A" w:rsidRPr="003D2AB7">
        <w:rPr>
          <w:rFonts w:cstheme="minorHAnsi"/>
          <w:sz w:val="20"/>
          <w:szCs w:val="20"/>
        </w:rPr>
        <w:t xml:space="preserve"> (associated with their project)</w:t>
      </w:r>
      <w:r w:rsidRPr="003D2AB7">
        <w:rPr>
          <w:rFonts w:cstheme="minorHAnsi"/>
          <w:sz w:val="20"/>
          <w:szCs w:val="20"/>
        </w:rPr>
        <w:t xml:space="preserve"> to the NSW Government </w:t>
      </w:r>
      <w:r w:rsidR="00B11FA4" w:rsidRPr="003D2AB7">
        <w:rPr>
          <w:rFonts w:cstheme="minorHAnsi"/>
          <w:sz w:val="20"/>
          <w:szCs w:val="20"/>
        </w:rPr>
        <w:t>represented by the</w:t>
      </w:r>
      <w:r w:rsidRPr="003D2AB7">
        <w:rPr>
          <w:rFonts w:cstheme="minorHAnsi"/>
          <w:sz w:val="20"/>
          <w:szCs w:val="20"/>
        </w:rPr>
        <w:t xml:space="preserve"> Water Administration Ministerial Corporation (WAMC). This in turn is consolidated </w:t>
      </w:r>
      <w:r w:rsidR="002E6119" w:rsidRPr="003D2AB7">
        <w:rPr>
          <w:rFonts w:cstheme="minorHAnsi"/>
          <w:sz w:val="20"/>
          <w:szCs w:val="20"/>
        </w:rPr>
        <w:t xml:space="preserve">by the NSW Government </w:t>
      </w:r>
      <w:r w:rsidR="00DD23DA" w:rsidRPr="003D2AB7">
        <w:rPr>
          <w:rFonts w:cstheme="minorHAnsi"/>
          <w:sz w:val="20"/>
          <w:szCs w:val="20"/>
        </w:rPr>
        <w:t xml:space="preserve">and </w:t>
      </w:r>
      <w:r w:rsidRPr="003D2AB7">
        <w:rPr>
          <w:rFonts w:cstheme="minorHAnsi"/>
          <w:sz w:val="20"/>
          <w:szCs w:val="20"/>
        </w:rPr>
        <w:t xml:space="preserve">transferred to the Commonwealth in </w:t>
      </w:r>
      <w:r w:rsidR="009F452D" w:rsidRPr="003D2AB7">
        <w:rPr>
          <w:rFonts w:cstheme="minorHAnsi"/>
          <w:sz w:val="20"/>
          <w:szCs w:val="20"/>
        </w:rPr>
        <w:t>Tranches</w:t>
      </w:r>
      <w:r w:rsidRPr="003D2AB7">
        <w:rPr>
          <w:rFonts w:cstheme="minorHAnsi"/>
          <w:sz w:val="20"/>
          <w:szCs w:val="20"/>
        </w:rPr>
        <w:t xml:space="preserve">. </w:t>
      </w:r>
    </w:p>
    <w:p w14:paraId="28D90159" w14:textId="77777777" w:rsidR="00903036" w:rsidRPr="003D2AB7" w:rsidRDefault="00DA5FB1" w:rsidP="00871FD3">
      <w:pPr>
        <w:spacing w:before="120" w:after="120" w:line="240" w:lineRule="auto"/>
        <w:ind w:right="68"/>
        <w:rPr>
          <w:rFonts w:cstheme="minorHAnsi"/>
          <w:sz w:val="20"/>
          <w:szCs w:val="20"/>
        </w:rPr>
      </w:pPr>
      <w:r w:rsidRPr="003D2AB7">
        <w:rPr>
          <w:rFonts w:cstheme="minorHAnsi"/>
          <w:sz w:val="20"/>
          <w:szCs w:val="20"/>
        </w:rPr>
        <w:t>As per the WMPA, DPI is responsible for facilitating the transfe</w:t>
      </w:r>
      <w:r w:rsidR="006A2D6A" w:rsidRPr="003D2AB7">
        <w:rPr>
          <w:rFonts w:cstheme="minorHAnsi"/>
          <w:sz w:val="20"/>
          <w:szCs w:val="20"/>
        </w:rPr>
        <w:t xml:space="preserve">r process, </w:t>
      </w:r>
      <w:r w:rsidRPr="003D2AB7">
        <w:rPr>
          <w:rFonts w:cstheme="minorHAnsi"/>
          <w:sz w:val="20"/>
          <w:szCs w:val="20"/>
        </w:rPr>
        <w:t xml:space="preserve">both to the NSW Government and the Commonwealth Government. </w:t>
      </w:r>
      <w:r w:rsidR="00112135" w:rsidRPr="003D2AB7">
        <w:rPr>
          <w:rFonts w:cstheme="minorHAnsi"/>
          <w:sz w:val="20"/>
          <w:szCs w:val="20"/>
        </w:rPr>
        <w:t xml:space="preserve">The Commonwealth also undertake a due diligence activity over the water transfer through the Australian Government Solicitor (AGS). </w:t>
      </w:r>
      <w:r w:rsidRPr="003D2AB7">
        <w:rPr>
          <w:rFonts w:cstheme="minorHAnsi"/>
          <w:sz w:val="20"/>
          <w:szCs w:val="20"/>
        </w:rPr>
        <w:t xml:space="preserve">While the IFM project </w:t>
      </w:r>
      <w:r w:rsidR="00B11FA4" w:rsidRPr="003D2AB7">
        <w:rPr>
          <w:rFonts w:cstheme="minorHAnsi"/>
          <w:sz w:val="20"/>
          <w:szCs w:val="20"/>
        </w:rPr>
        <w:t xml:space="preserve">team </w:t>
      </w:r>
      <w:r w:rsidRPr="003D2AB7">
        <w:rPr>
          <w:rFonts w:cstheme="minorHAnsi"/>
          <w:sz w:val="20"/>
          <w:szCs w:val="20"/>
        </w:rPr>
        <w:t xml:space="preserve">is not responsible for enacting the </w:t>
      </w:r>
      <w:r w:rsidR="00544EEB" w:rsidRPr="003D2AB7">
        <w:rPr>
          <w:rFonts w:cstheme="minorHAnsi"/>
          <w:sz w:val="20"/>
          <w:szCs w:val="20"/>
        </w:rPr>
        <w:t>entitlement transfer</w:t>
      </w:r>
      <w:r w:rsidRPr="003D2AB7">
        <w:rPr>
          <w:rFonts w:cstheme="minorHAnsi"/>
          <w:sz w:val="20"/>
          <w:szCs w:val="20"/>
        </w:rPr>
        <w:t xml:space="preserve"> process, i</w:t>
      </w:r>
      <w:r w:rsidR="00B11FA4" w:rsidRPr="003D2AB7">
        <w:rPr>
          <w:rFonts w:cstheme="minorHAnsi"/>
          <w:sz w:val="20"/>
          <w:szCs w:val="20"/>
        </w:rPr>
        <w:t xml:space="preserve">t plays </w:t>
      </w:r>
      <w:r w:rsidRPr="003D2AB7">
        <w:rPr>
          <w:rFonts w:cstheme="minorHAnsi"/>
          <w:sz w:val="20"/>
          <w:szCs w:val="20"/>
        </w:rPr>
        <w:t xml:space="preserve">an important role in coordinating all parties involved, this includes managing the completion and lodgement of relevant documentation. </w:t>
      </w:r>
      <w:r w:rsidR="00903036" w:rsidRPr="003D2AB7">
        <w:rPr>
          <w:rFonts w:cstheme="minorHAnsi"/>
          <w:sz w:val="20"/>
          <w:szCs w:val="20"/>
        </w:rPr>
        <w:t>DPI have developed detailed procedures to support the transfer process, some key processes</w:t>
      </w:r>
      <w:r w:rsidR="006A2D6A" w:rsidRPr="003D2AB7">
        <w:rPr>
          <w:rFonts w:cstheme="minorHAnsi"/>
          <w:sz w:val="20"/>
          <w:szCs w:val="20"/>
        </w:rPr>
        <w:t xml:space="preserve"> elements</w:t>
      </w:r>
      <w:r w:rsidR="00903036" w:rsidRPr="003D2AB7">
        <w:rPr>
          <w:rFonts w:cstheme="minorHAnsi"/>
          <w:sz w:val="20"/>
          <w:szCs w:val="20"/>
        </w:rPr>
        <w:t xml:space="preserve"> include:</w:t>
      </w:r>
    </w:p>
    <w:p w14:paraId="281587C7" w14:textId="77777777" w:rsidR="00903036" w:rsidRPr="003D2AB7" w:rsidRDefault="00903036" w:rsidP="00A71D31">
      <w:pPr>
        <w:pStyle w:val="ListParagraph"/>
        <w:numPr>
          <w:ilvl w:val="0"/>
          <w:numId w:val="18"/>
        </w:numPr>
        <w:spacing w:before="120" w:after="120" w:line="240" w:lineRule="auto"/>
        <w:ind w:right="68"/>
        <w:rPr>
          <w:rFonts w:cstheme="minorHAnsi"/>
          <w:sz w:val="20"/>
          <w:szCs w:val="20"/>
        </w:rPr>
      </w:pPr>
      <w:r w:rsidRPr="003D2AB7">
        <w:rPr>
          <w:rFonts w:cstheme="minorHAnsi"/>
          <w:sz w:val="20"/>
          <w:szCs w:val="20"/>
        </w:rPr>
        <w:t xml:space="preserve">Initial title searches conducted at application </w:t>
      </w:r>
      <w:r w:rsidR="000211AE" w:rsidRPr="003D2AB7">
        <w:rPr>
          <w:rFonts w:cstheme="minorHAnsi"/>
          <w:sz w:val="20"/>
          <w:szCs w:val="20"/>
        </w:rPr>
        <w:t>stage</w:t>
      </w:r>
      <w:r w:rsidRPr="003D2AB7">
        <w:rPr>
          <w:rFonts w:cstheme="minorHAnsi"/>
          <w:sz w:val="20"/>
          <w:szCs w:val="20"/>
        </w:rPr>
        <w:t xml:space="preserve"> to confirm WAL holder and relevant details.</w:t>
      </w:r>
    </w:p>
    <w:p w14:paraId="5D06ABF7" w14:textId="55D54646" w:rsidR="000211AE" w:rsidRPr="003D2AB7" w:rsidRDefault="000211AE" w:rsidP="00A71D31">
      <w:pPr>
        <w:pStyle w:val="ListParagraph"/>
        <w:numPr>
          <w:ilvl w:val="0"/>
          <w:numId w:val="17"/>
        </w:numPr>
        <w:spacing w:before="120" w:after="120" w:line="240" w:lineRule="auto"/>
        <w:ind w:right="68"/>
        <w:rPr>
          <w:rFonts w:cstheme="minorHAnsi"/>
          <w:sz w:val="20"/>
          <w:szCs w:val="20"/>
        </w:rPr>
      </w:pPr>
      <w:r w:rsidRPr="003D2AB7">
        <w:rPr>
          <w:rFonts w:cstheme="minorHAnsi"/>
          <w:sz w:val="20"/>
          <w:szCs w:val="20"/>
        </w:rPr>
        <w:t>Following signing of Water Transfer Deed</w:t>
      </w:r>
      <w:r w:rsidR="006A2D6A" w:rsidRPr="003D2AB7">
        <w:rPr>
          <w:rFonts w:cstheme="minorHAnsi"/>
          <w:sz w:val="20"/>
          <w:szCs w:val="20"/>
        </w:rPr>
        <w:t>,</w:t>
      </w:r>
      <w:r w:rsidRPr="003D2AB7">
        <w:rPr>
          <w:rFonts w:cstheme="minorHAnsi"/>
          <w:sz w:val="20"/>
          <w:szCs w:val="20"/>
        </w:rPr>
        <w:t xml:space="preserve"> c</w:t>
      </w:r>
      <w:r w:rsidR="00B11FA4" w:rsidRPr="003D2AB7">
        <w:rPr>
          <w:rFonts w:cstheme="minorHAnsi"/>
          <w:sz w:val="20"/>
          <w:szCs w:val="20"/>
        </w:rPr>
        <w:t xml:space="preserve">oordinate </w:t>
      </w:r>
      <w:r w:rsidRPr="003D2AB7">
        <w:rPr>
          <w:rFonts w:cstheme="minorHAnsi"/>
          <w:sz w:val="20"/>
          <w:szCs w:val="20"/>
        </w:rPr>
        <w:t>completion, endorsement and lodgement of water transfer applications (under s71Q Water Management Act) for the transfer of the applicable share of WAL</w:t>
      </w:r>
      <w:r w:rsidR="00B11FA4" w:rsidRPr="003D2AB7">
        <w:rPr>
          <w:rFonts w:cstheme="minorHAnsi"/>
          <w:sz w:val="20"/>
          <w:szCs w:val="20"/>
        </w:rPr>
        <w:t>s to the WAMC</w:t>
      </w:r>
      <w:r w:rsidRPr="003D2AB7">
        <w:rPr>
          <w:rFonts w:cstheme="minorHAnsi"/>
          <w:sz w:val="20"/>
          <w:szCs w:val="20"/>
        </w:rPr>
        <w:t xml:space="preserve">. </w:t>
      </w:r>
    </w:p>
    <w:p w14:paraId="6400184B" w14:textId="77777777" w:rsidR="00903036" w:rsidRPr="003D2AB7" w:rsidRDefault="000211AE" w:rsidP="009F452D">
      <w:pPr>
        <w:pStyle w:val="ListParagraph"/>
        <w:numPr>
          <w:ilvl w:val="0"/>
          <w:numId w:val="16"/>
        </w:numPr>
        <w:spacing w:before="120" w:after="120" w:line="240" w:lineRule="auto"/>
        <w:ind w:right="68"/>
        <w:rPr>
          <w:rFonts w:cstheme="minorHAnsi"/>
          <w:sz w:val="20"/>
          <w:szCs w:val="20"/>
        </w:rPr>
      </w:pPr>
      <w:r w:rsidRPr="003D2AB7">
        <w:rPr>
          <w:rFonts w:cstheme="minorHAnsi"/>
          <w:sz w:val="20"/>
          <w:szCs w:val="20"/>
        </w:rPr>
        <w:t xml:space="preserve">Notification to the Commonwealth identifying the relevant </w:t>
      </w:r>
      <w:r w:rsidR="009F452D" w:rsidRPr="003D2AB7">
        <w:rPr>
          <w:rFonts w:cstheme="minorHAnsi"/>
          <w:sz w:val="20"/>
          <w:szCs w:val="20"/>
        </w:rPr>
        <w:t>entitlement</w:t>
      </w:r>
      <w:r w:rsidRPr="003D2AB7">
        <w:rPr>
          <w:rFonts w:cstheme="minorHAnsi"/>
          <w:sz w:val="20"/>
          <w:szCs w:val="20"/>
        </w:rPr>
        <w:t xml:space="preserve"> held by WAMC</w:t>
      </w:r>
      <w:r w:rsidR="003C7309" w:rsidRPr="003D2AB7">
        <w:rPr>
          <w:rFonts w:cstheme="minorHAnsi"/>
          <w:sz w:val="20"/>
          <w:szCs w:val="20"/>
        </w:rPr>
        <w:t>,</w:t>
      </w:r>
      <w:r w:rsidRPr="003D2AB7">
        <w:rPr>
          <w:rFonts w:cstheme="minorHAnsi"/>
          <w:sz w:val="20"/>
          <w:szCs w:val="20"/>
        </w:rPr>
        <w:t xml:space="preserve"> which </w:t>
      </w:r>
      <w:r w:rsidR="00B11FA4" w:rsidRPr="003D2AB7">
        <w:rPr>
          <w:rFonts w:cstheme="minorHAnsi"/>
          <w:sz w:val="20"/>
          <w:szCs w:val="20"/>
        </w:rPr>
        <w:t>will require</w:t>
      </w:r>
      <w:r w:rsidRPr="003D2AB7">
        <w:rPr>
          <w:rFonts w:cstheme="minorHAnsi"/>
          <w:sz w:val="20"/>
          <w:szCs w:val="20"/>
        </w:rPr>
        <w:t xml:space="preserve"> transfer</w:t>
      </w:r>
      <w:r w:rsidR="006A2D6A" w:rsidRPr="003D2AB7">
        <w:rPr>
          <w:rFonts w:cstheme="minorHAnsi"/>
          <w:sz w:val="20"/>
          <w:szCs w:val="20"/>
        </w:rPr>
        <w:t xml:space="preserve"> and</w:t>
      </w:r>
      <w:r w:rsidR="00B11FA4" w:rsidRPr="003D2AB7">
        <w:rPr>
          <w:rFonts w:cstheme="minorHAnsi"/>
          <w:sz w:val="20"/>
          <w:szCs w:val="20"/>
        </w:rPr>
        <w:t xml:space="preserve"> initiating the transfer process</w:t>
      </w:r>
      <w:r w:rsidRPr="003D2AB7">
        <w:rPr>
          <w:rFonts w:cstheme="minorHAnsi"/>
          <w:sz w:val="20"/>
          <w:szCs w:val="20"/>
        </w:rPr>
        <w:t xml:space="preserve">. </w:t>
      </w:r>
    </w:p>
    <w:p w14:paraId="72B0CEDC" w14:textId="77777777" w:rsidR="00B11FA4" w:rsidRPr="003D2AB7" w:rsidRDefault="006A2D6A" w:rsidP="009F452D">
      <w:pPr>
        <w:pStyle w:val="ListParagraph"/>
        <w:numPr>
          <w:ilvl w:val="0"/>
          <w:numId w:val="16"/>
        </w:numPr>
        <w:spacing w:before="120" w:after="120" w:line="240" w:lineRule="auto"/>
        <w:ind w:right="68"/>
        <w:rPr>
          <w:rFonts w:cstheme="minorHAnsi"/>
          <w:sz w:val="20"/>
          <w:szCs w:val="20"/>
        </w:rPr>
      </w:pPr>
      <w:r w:rsidRPr="003D2AB7">
        <w:rPr>
          <w:rFonts w:cstheme="minorHAnsi"/>
          <w:sz w:val="20"/>
          <w:szCs w:val="20"/>
        </w:rPr>
        <w:t>Coordinating the</w:t>
      </w:r>
      <w:r w:rsidR="00B11FA4" w:rsidRPr="003D2AB7">
        <w:rPr>
          <w:rFonts w:cstheme="minorHAnsi"/>
          <w:sz w:val="20"/>
          <w:szCs w:val="20"/>
        </w:rPr>
        <w:t xml:space="preserve"> completion and lodgement of water transfer applications on behalf of NSW government for the transfer of </w:t>
      </w:r>
      <w:r w:rsidR="009F452D" w:rsidRPr="003D2AB7">
        <w:rPr>
          <w:rFonts w:cstheme="minorHAnsi"/>
          <w:sz w:val="20"/>
          <w:szCs w:val="20"/>
        </w:rPr>
        <w:t>entitlement</w:t>
      </w:r>
      <w:r w:rsidR="00B11FA4" w:rsidRPr="003D2AB7">
        <w:rPr>
          <w:rFonts w:cstheme="minorHAnsi"/>
          <w:sz w:val="20"/>
          <w:szCs w:val="20"/>
        </w:rPr>
        <w:t xml:space="preserve"> to the Commonwealth. </w:t>
      </w:r>
    </w:p>
    <w:p w14:paraId="03FCB10E" w14:textId="77777777" w:rsidR="000211AE" w:rsidRPr="003D2AB7" w:rsidRDefault="000211AE" w:rsidP="009F452D">
      <w:pPr>
        <w:pStyle w:val="ListParagraph"/>
        <w:numPr>
          <w:ilvl w:val="0"/>
          <w:numId w:val="16"/>
        </w:numPr>
        <w:spacing w:before="120" w:after="120" w:line="240" w:lineRule="auto"/>
        <w:ind w:right="68"/>
        <w:rPr>
          <w:rFonts w:cstheme="minorHAnsi"/>
          <w:sz w:val="20"/>
          <w:szCs w:val="20"/>
        </w:rPr>
      </w:pPr>
      <w:r w:rsidRPr="003D2AB7">
        <w:rPr>
          <w:rFonts w:cstheme="minorHAnsi"/>
          <w:sz w:val="20"/>
          <w:szCs w:val="20"/>
        </w:rPr>
        <w:t xml:space="preserve">Ongoing monitoring of the </w:t>
      </w:r>
      <w:r w:rsidR="009F452D" w:rsidRPr="003D2AB7">
        <w:rPr>
          <w:rFonts w:cstheme="minorHAnsi"/>
          <w:sz w:val="20"/>
          <w:szCs w:val="20"/>
        </w:rPr>
        <w:t>water transfer dealing</w:t>
      </w:r>
      <w:r w:rsidR="00B11FA4" w:rsidRPr="003D2AB7">
        <w:rPr>
          <w:rFonts w:cstheme="minorHAnsi"/>
          <w:sz w:val="20"/>
          <w:szCs w:val="20"/>
        </w:rPr>
        <w:t xml:space="preserve"> </w:t>
      </w:r>
      <w:r w:rsidRPr="003D2AB7">
        <w:rPr>
          <w:rFonts w:cstheme="minorHAnsi"/>
          <w:sz w:val="20"/>
          <w:szCs w:val="20"/>
        </w:rPr>
        <w:t>registration process</w:t>
      </w:r>
      <w:r w:rsidR="00B11FA4" w:rsidRPr="003D2AB7">
        <w:rPr>
          <w:rFonts w:cstheme="minorHAnsi"/>
          <w:sz w:val="20"/>
          <w:szCs w:val="20"/>
        </w:rPr>
        <w:t>.</w:t>
      </w:r>
      <w:r w:rsidRPr="003D2AB7">
        <w:rPr>
          <w:rFonts w:cstheme="minorHAnsi"/>
          <w:sz w:val="20"/>
          <w:szCs w:val="20"/>
        </w:rPr>
        <w:t xml:space="preserve"> </w:t>
      </w:r>
    </w:p>
    <w:p w14:paraId="1021258E" w14:textId="0730B3DE" w:rsidR="00B11FA4" w:rsidRPr="003D2AB7" w:rsidRDefault="00B11FA4" w:rsidP="00B11FA4">
      <w:pPr>
        <w:spacing w:before="120" w:after="120" w:line="240" w:lineRule="auto"/>
        <w:ind w:right="68"/>
        <w:rPr>
          <w:rFonts w:cstheme="minorHAnsi"/>
          <w:sz w:val="20"/>
          <w:szCs w:val="20"/>
        </w:rPr>
      </w:pPr>
      <w:r w:rsidRPr="003D2AB7">
        <w:rPr>
          <w:rFonts w:cstheme="minorHAnsi"/>
          <w:sz w:val="20"/>
          <w:szCs w:val="20"/>
        </w:rPr>
        <w:t xml:space="preserve">DPI have appointed a dedicated member of the project team to monitor and manage the </w:t>
      </w:r>
      <w:r w:rsidR="000D6F4D" w:rsidRPr="003D2AB7">
        <w:rPr>
          <w:rFonts w:cstheme="minorHAnsi"/>
          <w:sz w:val="20"/>
          <w:szCs w:val="20"/>
        </w:rPr>
        <w:t>water</w:t>
      </w:r>
      <w:r w:rsidR="00A7003B" w:rsidRPr="003D2AB7">
        <w:rPr>
          <w:rFonts w:cstheme="minorHAnsi"/>
          <w:sz w:val="20"/>
          <w:szCs w:val="20"/>
        </w:rPr>
        <w:t xml:space="preserve"> </w:t>
      </w:r>
      <w:r w:rsidRPr="003D2AB7">
        <w:rPr>
          <w:rFonts w:cstheme="minorHAnsi"/>
          <w:sz w:val="20"/>
          <w:szCs w:val="20"/>
        </w:rPr>
        <w:t>transfer process</w:t>
      </w:r>
      <w:r w:rsidR="00A7003B" w:rsidRPr="003D2AB7">
        <w:rPr>
          <w:rFonts w:cstheme="minorHAnsi"/>
          <w:sz w:val="20"/>
          <w:szCs w:val="20"/>
        </w:rPr>
        <w:t>es</w:t>
      </w:r>
      <w:r w:rsidRPr="003D2AB7">
        <w:rPr>
          <w:rFonts w:cstheme="minorHAnsi"/>
          <w:sz w:val="20"/>
          <w:szCs w:val="20"/>
        </w:rPr>
        <w:t>. In addition, DPI provide support and guidance to proponents in the completion of relevant applications</w:t>
      </w:r>
      <w:r w:rsidR="003C7309" w:rsidRPr="003D2AB7">
        <w:rPr>
          <w:rFonts w:cstheme="minorHAnsi"/>
          <w:sz w:val="20"/>
          <w:szCs w:val="20"/>
        </w:rPr>
        <w:t xml:space="preserve"> where required</w:t>
      </w:r>
      <w:r w:rsidRPr="003D2AB7">
        <w:rPr>
          <w:rFonts w:cstheme="minorHAnsi"/>
          <w:sz w:val="20"/>
          <w:szCs w:val="20"/>
        </w:rPr>
        <w:t xml:space="preserve">. </w:t>
      </w:r>
    </w:p>
    <w:p w14:paraId="62AA664A" w14:textId="77777777" w:rsidR="00871FD3" w:rsidRPr="003D2AB7" w:rsidRDefault="00F617BE" w:rsidP="00F74EDA">
      <w:pPr>
        <w:spacing w:before="120" w:after="120" w:line="240" w:lineRule="auto"/>
        <w:rPr>
          <w:rFonts w:cstheme="minorHAnsi"/>
          <w:sz w:val="20"/>
          <w:szCs w:val="20"/>
        </w:rPr>
      </w:pPr>
      <w:r w:rsidRPr="003D2AB7">
        <w:rPr>
          <w:rFonts w:cstheme="minorHAnsi"/>
          <w:sz w:val="20"/>
          <w:szCs w:val="20"/>
        </w:rPr>
        <w:t xml:space="preserve">In accordance with </w:t>
      </w:r>
      <w:r w:rsidR="00A7003B" w:rsidRPr="003D2AB7">
        <w:rPr>
          <w:rFonts w:cstheme="minorHAnsi"/>
          <w:sz w:val="20"/>
          <w:szCs w:val="20"/>
        </w:rPr>
        <w:t xml:space="preserve">the </w:t>
      </w:r>
      <w:r w:rsidRPr="003D2AB7">
        <w:rPr>
          <w:rFonts w:cstheme="minorHAnsi"/>
          <w:sz w:val="20"/>
          <w:szCs w:val="20"/>
        </w:rPr>
        <w:t xml:space="preserve">WMPA, DPI </w:t>
      </w:r>
      <w:r w:rsidR="00871FD3" w:rsidRPr="003D2AB7">
        <w:rPr>
          <w:rFonts w:cstheme="minorHAnsi"/>
          <w:sz w:val="20"/>
          <w:szCs w:val="20"/>
        </w:rPr>
        <w:t xml:space="preserve">only make the first milestone payment </w:t>
      </w:r>
      <w:r w:rsidR="00A7003B" w:rsidRPr="003D2AB7">
        <w:rPr>
          <w:rFonts w:cstheme="minorHAnsi"/>
          <w:sz w:val="20"/>
          <w:szCs w:val="20"/>
        </w:rPr>
        <w:t xml:space="preserve">to proponents </w:t>
      </w:r>
      <w:r w:rsidR="00871FD3" w:rsidRPr="003D2AB7">
        <w:rPr>
          <w:rFonts w:cstheme="minorHAnsi"/>
          <w:sz w:val="20"/>
          <w:szCs w:val="20"/>
        </w:rPr>
        <w:t>under a works agreement once</w:t>
      </w:r>
      <w:r w:rsidR="00B11FA4" w:rsidRPr="003D2AB7">
        <w:rPr>
          <w:rFonts w:cstheme="minorHAnsi"/>
          <w:sz w:val="20"/>
          <w:szCs w:val="20"/>
        </w:rPr>
        <w:t xml:space="preserve"> relevant </w:t>
      </w:r>
      <w:r w:rsidR="009F452D" w:rsidRPr="003D2AB7">
        <w:rPr>
          <w:rFonts w:cstheme="minorHAnsi"/>
          <w:sz w:val="20"/>
          <w:szCs w:val="20"/>
        </w:rPr>
        <w:t>entitlements</w:t>
      </w:r>
      <w:r w:rsidR="00B11FA4" w:rsidRPr="003D2AB7">
        <w:rPr>
          <w:rFonts w:cstheme="minorHAnsi"/>
          <w:sz w:val="20"/>
          <w:szCs w:val="20"/>
        </w:rPr>
        <w:t xml:space="preserve"> have been transferred to the NSW Government.  </w:t>
      </w:r>
      <w:r w:rsidR="00871FD3" w:rsidRPr="003D2AB7">
        <w:rPr>
          <w:rFonts w:cstheme="minorHAnsi"/>
          <w:sz w:val="20"/>
          <w:szCs w:val="20"/>
        </w:rPr>
        <w:t xml:space="preserve">For this purpose, </w:t>
      </w:r>
      <w:r w:rsidR="00B11FA4" w:rsidRPr="003D2AB7">
        <w:rPr>
          <w:rFonts w:cstheme="minorHAnsi"/>
          <w:sz w:val="20"/>
          <w:szCs w:val="20"/>
        </w:rPr>
        <w:t xml:space="preserve">the IFM project team regularly consult with </w:t>
      </w:r>
      <w:r w:rsidR="009F452D" w:rsidRPr="003D2AB7">
        <w:rPr>
          <w:rFonts w:cstheme="minorHAnsi"/>
          <w:sz w:val="20"/>
          <w:szCs w:val="20"/>
        </w:rPr>
        <w:t>Land Registry Services</w:t>
      </w:r>
      <w:r w:rsidR="009F452D" w:rsidRPr="003D2AB7" w:rsidDel="009F452D">
        <w:rPr>
          <w:rFonts w:cstheme="minorHAnsi"/>
          <w:sz w:val="20"/>
          <w:szCs w:val="20"/>
        </w:rPr>
        <w:t xml:space="preserve"> </w:t>
      </w:r>
      <w:r w:rsidR="00C5585F" w:rsidRPr="003D2AB7">
        <w:rPr>
          <w:rFonts w:cstheme="minorHAnsi"/>
          <w:sz w:val="20"/>
          <w:szCs w:val="20"/>
        </w:rPr>
        <w:t xml:space="preserve">to </w:t>
      </w:r>
      <w:r w:rsidR="00871FD3" w:rsidRPr="003D2AB7">
        <w:rPr>
          <w:rFonts w:cstheme="minorHAnsi"/>
          <w:sz w:val="20"/>
          <w:szCs w:val="20"/>
        </w:rPr>
        <w:t xml:space="preserve">ensure notification of </w:t>
      </w:r>
      <w:r w:rsidR="00A7003B" w:rsidRPr="003D2AB7">
        <w:rPr>
          <w:rFonts w:cstheme="minorHAnsi"/>
          <w:sz w:val="20"/>
          <w:szCs w:val="20"/>
        </w:rPr>
        <w:t>registration</w:t>
      </w:r>
      <w:r w:rsidR="00871FD3" w:rsidRPr="003D2AB7">
        <w:rPr>
          <w:rFonts w:cstheme="minorHAnsi"/>
          <w:sz w:val="20"/>
          <w:szCs w:val="20"/>
        </w:rPr>
        <w:t xml:space="preserve"> is provided prior to milestone payment. </w:t>
      </w:r>
      <w:r w:rsidR="00B11FA4" w:rsidRPr="003D2AB7">
        <w:rPr>
          <w:rFonts w:cstheme="minorHAnsi"/>
          <w:sz w:val="20"/>
          <w:szCs w:val="20"/>
        </w:rPr>
        <w:t xml:space="preserve">KPMG noted that for all proponents sampled the first milestone payment occurred following transfer of </w:t>
      </w:r>
      <w:r w:rsidR="009F452D" w:rsidRPr="003D2AB7">
        <w:rPr>
          <w:rFonts w:cstheme="minorHAnsi"/>
          <w:sz w:val="20"/>
          <w:szCs w:val="20"/>
        </w:rPr>
        <w:t xml:space="preserve">entitlement </w:t>
      </w:r>
      <w:r w:rsidR="00B11FA4" w:rsidRPr="003D2AB7">
        <w:rPr>
          <w:rFonts w:cstheme="minorHAnsi"/>
          <w:sz w:val="20"/>
          <w:szCs w:val="20"/>
        </w:rPr>
        <w:t xml:space="preserve">to </w:t>
      </w:r>
      <w:r w:rsidR="00A7003B" w:rsidRPr="003D2AB7">
        <w:rPr>
          <w:rFonts w:cstheme="minorHAnsi"/>
          <w:sz w:val="20"/>
          <w:szCs w:val="20"/>
        </w:rPr>
        <w:t xml:space="preserve">the </w:t>
      </w:r>
      <w:r w:rsidR="00B11FA4" w:rsidRPr="003D2AB7">
        <w:rPr>
          <w:rFonts w:cstheme="minorHAnsi"/>
          <w:sz w:val="20"/>
          <w:szCs w:val="20"/>
        </w:rPr>
        <w:t xml:space="preserve">NSW Government. </w:t>
      </w:r>
    </w:p>
    <w:p w14:paraId="3E231D71" w14:textId="77777777" w:rsidR="003E73C2" w:rsidRPr="003D2AB7" w:rsidRDefault="003E73C2" w:rsidP="00871FD3">
      <w:pPr>
        <w:spacing w:before="120" w:after="120" w:line="240" w:lineRule="auto"/>
        <w:ind w:right="68"/>
        <w:rPr>
          <w:rFonts w:cstheme="minorHAnsi"/>
          <w:sz w:val="20"/>
          <w:szCs w:val="20"/>
        </w:rPr>
      </w:pPr>
      <w:r w:rsidRPr="003D2AB7">
        <w:rPr>
          <w:rFonts w:cstheme="minorHAnsi"/>
          <w:sz w:val="20"/>
        </w:rPr>
        <w:t>KPMG did not identify any non-compliance or significant control weaknesses related to the water transfer process.</w:t>
      </w:r>
    </w:p>
    <w:p w14:paraId="642D5BDA" w14:textId="77777777" w:rsidR="00871FD3" w:rsidRPr="003D2AB7" w:rsidRDefault="00871FD3" w:rsidP="003C7C87">
      <w:pPr>
        <w:pStyle w:val="Heading2"/>
        <w:keepNext/>
        <w:rPr>
          <w:rFonts w:asciiTheme="minorHAnsi" w:hAnsiTheme="minorHAnsi" w:cstheme="minorHAnsi"/>
        </w:rPr>
      </w:pPr>
      <w:bookmarkStart w:id="23" w:name="_Toc519850550"/>
      <w:bookmarkStart w:id="24" w:name="_Toc532474957"/>
      <w:r w:rsidRPr="003D2AB7">
        <w:rPr>
          <w:rFonts w:asciiTheme="minorHAnsi" w:hAnsiTheme="minorHAnsi" w:cstheme="minorHAnsi"/>
        </w:rPr>
        <w:t>Project management</w:t>
      </w:r>
      <w:bookmarkEnd w:id="23"/>
      <w:bookmarkEnd w:id="24"/>
    </w:p>
    <w:p w14:paraId="3B29B84D" w14:textId="77777777" w:rsidR="00F43A4F" w:rsidRPr="003D2AB7" w:rsidRDefault="00A7003B" w:rsidP="00F74EDA">
      <w:pPr>
        <w:pStyle w:val="Heading3"/>
        <w:shd w:val="clear" w:color="auto" w:fill="E7E6E6" w:themeFill="background2"/>
        <w:rPr>
          <w:rFonts w:asciiTheme="minorHAnsi" w:eastAsiaTheme="minorEastAsia" w:hAnsiTheme="minorHAnsi" w:cstheme="minorHAnsi"/>
          <w:i/>
          <w:color w:val="auto"/>
          <w:sz w:val="20"/>
          <w:szCs w:val="20"/>
        </w:rPr>
      </w:pPr>
      <w:r w:rsidRPr="003D2AB7">
        <w:rPr>
          <w:rFonts w:asciiTheme="minorHAnsi" w:eastAsiaTheme="minorEastAsia" w:hAnsiTheme="minorHAnsi" w:cstheme="minorHAnsi"/>
          <w:i/>
          <w:color w:val="auto"/>
          <w:sz w:val="20"/>
          <w:szCs w:val="20"/>
        </w:rPr>
        <w:t>DPI</w:t>
      </w:r>
      <w:r w:rsidR="00474DAB" w:rsidRPr="003D2AB7">
        <w:rPr>
          <w:rFonts w:asciiTheme="minorHAnsi" w:eastAsiaTheme="minorEastAsia" w:hAnsiTheme="minorHAnsi" w:cstheme="minorHAnsi"/>
          <w:i/>
          <w:color w:val="auto"/>
          <w:sz w:val="20"/>
          <w:szCs w:val="20"/>
        </w:rPr>
        <w:t xml:space="preserve"> appear to have established appropriate processes to manage and monitor proponent projects in accordance with the requirements as set out in proponent </w:t>
      </w:r>
      <w:r w:rsidR="00630F35" w:rsidRPr="003D2AB7">
        <w:rPr>
          <w:rFonts w:asciiTheme="minorHAnsi" w:eastAsiaTheme="minorEastAsia" w:hAnsiTheme="minorHAnsi" w:cstheme="minorHAnsi"/>
          <w:i/>
          <w:color w:val="auto"/>
          <w:sz w:val="20"/>
          <w:szCs w:val="20"/>
        </w:rPr>
        <w:t>funding deed</w:t>
      </w:r>
      <w:r w:rsidR="00474DAB" w:rsidRPr="003D2AB7">
        <w:rPr>
          <w:rFonts w:asciiTheme="minorHAnsi" w:eastAsiaTheme="minorEastAsia" w:hAnsiTheme="minorHAnsi" w:cstheme="minorHAnsi"/>
          <w:i/>
          <w:color w:val="auto"/>
          <w:sz w:val="20"/>
          <w:szCs w:val="20"/>
        </w:rPr>
        <w:t xml:space="preserve"> and WMPA</w:t>
      </w:r>
      <w:r w:rsidR="00DD23DA" w:rsidRPr="003D2AB7">
        <w:rPr>
          <w:rFonts w:asciiTheme="minorHAnsi" w:eastAsiaTheme="minorEastAsia" w:hAnsiTheme="minorHAnsi" w:cstheme="minorHAnsi"/>
          <w:i/>
          <w:color w:val="auto"/>
          <w:sz w:val="20"/>
          <w:szCs w:val="20"/>
        </w:rPr>
        <w:t>. The emphasis DPI placed on record keeping and audit trail was evident through testing</w:t>
      </w:r>
      <w:r w:rsidR="00173469" w:rsidRPr="003D2AB7">
        <w:rPr>
          <w:rFonts w:asciiTheme="minorHAnsi" w:eastAsiaTheme="minorEastAsia" w:hAnsiTheme="minorHAnsi" w:cstheme="minorHAnsi"/>
          <w:i/>
          <w:color w:val="auto"/>
          <w:sz w:val="20"/>
          <w:szCs w:val="20"/>
        </w:rPr>
        <w:t xml:space="preserve"> and ensured an accurate representation of project activities and decisions. </w:t>
      </w:r>
    </w:p>
    <w:p w14:paraId="4A903059" w14:textId="77777777" w:rsidR="00782D76" w:rsidRPr="003D2AB7" w:rsidRDefault="00782D76" w:rsidP="00F74EDA">
      <w:pPr>
        <w:pStyle w:val="Heading3"/>
        <w:keepNext w:val="0"/>
        <w:keepLines w:val="0"/>
        <w:spacing w:before="120"/>
        <w:rPr>
          <w:rFonts w:asciiTheme="minorHAnsi" w:hAnsiTheme="minorHAnsi" w:cstheme="minorHAnsi"/>
          <w:sz w:val="20"/>
          <w:szCs w:val="20"/>
        </w:rPr>
      </w:pPr>
      <w:r w:rsidRPr="003D2AB7">
        <w:rPr>
          <w:rFonts w:asciiTheme="minorHAnsi" w:eastAsiaTheme="minorEastAsia" w:hAnsiTheme="minorHAnsi" w:cstheme="minorHAnsi"/>
          <w:color w:val="auto"/>
          <w:sz w:val="20"/>
          <w:szCs w:val="20"/>
        </w:rPr>
        <w:t>KPMG considered the processes and controls in place to manage</w:t>
      </w:r>
      <w:r w:rsidR="00474DAB" w:rsidRPr="003D2AB7">
        <w:rPr>
          <w:rFonts w:asciiTheme="minorHAnsi" w:eastAsiaTheme="minorEastAsia" w:hAnsiTheme="minorHAnsi" w:cstheme="minorHAnsi"/>
          <w:color w:val="auto"/>
          <w:sz w:val="20"/>
          <w:szCs w:val="20"/>
        </w:rPr>
        <w:t xml:space="preserve"> and monitor proponent projects. Key areas of focus are discussed in this section. </w:t>
      </w:r>
    </w:p>
    <w:p w14:paraId="189BA006" w14:textId="77777777" w:rsidR="003B60FE" w:rsidRPr="003D2AB7" w:rsidRDefault="003B60FE"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Management and </w:t>
      </w:r>
      <w:r w:rsidR="00BB52E9" w:rsidRPr="003D2AB7">
        <w:rPr>
          <w:rFonts w:asciiTheme="minorHAnsi" w:hAnsiTheme="minorHAnsi" w:cstheme="minorHAnsi"/>
          <w:sz w:val="20"/>
          <w:szCs w:val="20"/>
        </w:rPr>
        <w:t>m</w:t>
      </w:r>
      <w:r w:rsidRPr="003D2AB7">
        <w:rPr>
          <w:rFonts w:asciiTheme="minorHAnsi" w:hAnsiTheme="minorHAnsi" w:cstheme="minorHAnsi"/>
          <w:sz w:val="20"/>
          <w:szCs w:val="20"/>
        </w:rPr>
        <w:t xml:space="preserve">onitoring of </w:t>
      </w:r>
      <w:r w:rsidR="00BB52E9" w:rsidRPr="003D2AB7">
        <w:rPr>
          <w:rFonts w:asciiTheme="minorHAnsi" w:hAnsiTheme="minorHAnsi" w:cstheme="minorHAnsi"/>
          <w:sz w:val="20"/>
          <w:szCs w:val="20"/>
        </w:rPr>
        <w:t>p</w:t>
      </w:r>
      <w:r w:rsidRPr="003D2AB7">
        <w:rPr>
          <w:rFonts w:asciiTheme="minorHAnsi" w:hAnsiTheme="minorHAnsi" w:cstheme="minorHAnsi"/>
          <w:sz w:val="20"/>
          <w:szCs w:val="20"/>
        </w:rPr>
        <w:t>roponents</w:t>
      </w:r>
    </w:p>
    <w:p w14:paraId="2556C9EB" w14:textId="6E901486" w:rsidR="002A626F" w:rsidRPr="003D2AB7" w:rsidRDefault="003B60FE" w:rsidP="003B60FE">
      <w:pPr>
        <w:rPr>
          <w:rFonts w:cstheme="minorHAnsi"/>
          <w:sz w:val="20"/>
          <w:szCs w:val="20"/>
        </w:rPr>
      </w:pPr>
      <w:r w:rsidRPr="003D2AB7">
        <w:rPr>
          <w:rFonts w:cstheme="minorHAnsi"/>
          <w:sz w:val="20"/>
          <w:szCs w:val="20"/>
        </w:rPr>
        <w:t>DPI assign</w:t>
      </w:r>
      <w:r w:rsidR="006A2D6A" w:rsidRPr="003D2AB7">
        <w:rPr>
          <w:rFonts w:cstheme="minorHAnsi"/>
          <w:sz w:val="20"/>
          <w:szCs w:val="20"/>
        </w:rPr>
        <w:t xml:space="preserve"> a</w:t>
      </w:r>
      <w:r w:rsidRPr="003D2AB7">
        <w:rPr>
          <w:rFonts w:cstheme="minorHAnsi"/>
          <w:sz w:val="20"/>
          <w:szCs w:val="20"/>
        </w:rPr>
        <w:t xml:space="preserve"> </w:t>
      </w:r>
      <w:r w:rsidR="002A626F" w:rsidRPr="003D2AB7">
        <w:rPr>
          <w:rFonts w:cstheme="minorHAnsi"/>
          <w:sz w:val="20"/>
          <w:szCs w:val="20"/>
        </w:rPr>
        <w:t xml:space="preserve">dedicated </w:t>
      </w:r>
      <w:r w:rsidRPr="003D2AB7">
        <w:rPr>
          <w:rFonts w:cstheme="minorHAnsi"/>
          <w:sz w:val="20"/>
          <w:szCs w:val="20"/>
        </w:rPr>
        <w:t xml:space="preserve">project officer </w:t>
      </w:r>
      <w:r w:rsidR="002A626F" w:rsidRPr="003D2AB7">
        <w:rPr>
          <w:rFonts w:cstheme="minorHAnsi"/>
          <w:sz w:val="20"/>
          <w:szCs w:val="20"/>
        </w:rPr>
        <w:t xml:space="preserve">for the day to day management of individual </w:t>
      </w:r>
      <w:r w:rsidR="0026752F" w:rsidRPr="003D2AB7">
        <w:rPr>
          <w:rFonts w:cstheme="minorHAnsi"/>
          <w:sz w:val="20"/>
          <w:szCs w:val="20"/>
        </w:rPr>
        <w:t xml:space="preserve">infrastructure </w:t>
      </w:r>
      <w:r w:rsidRPr="003D2AB7">
        <w:rPr>
          <w:rFonts w:cstheme="minorHAnsi"/>
          <w:sz w:val="20"/>
          <w:szCs w:val="20"/>
        </w:rPr>
        <w:t xml:space="preserve">projects. </w:t>
      </w:r>
      <w:r w:rsidR="002A626F" w:rsidRPr="003D2AB7">
        <w:rPr>
          <w:rFonts w:cstheme="minorHAnsi"/>
          <w:sz w:val="20"/>
          <w:szCs w:val="20"/>
        </w:rPr>
        <w:t xml:space="preserve">Project officers are not involved in the application process and are generally allocated following application approval. </w:t>
      </w:r>
      <w:r w:rsidRPr="003D2AB7">
        <w:rPr>
          <w:rFonts w:cstheme="minorHAnsi"/>
          <w:sz w:val="20"/>
          <w:szCs w:val="20"/>
        </w:rPr>
        <w:t>The</w:t>
      </w:r>
      <w:r w:rsidR="006A2D6A" w:rsidRPr="003D2AB7">
        <w:rPr>
          <w:rFonts w:cstheme="minorHAnsi"/>
          <w:sz w:val="20"/>
          <w:szCs w:val="20"/>
        </w:rPr>
        <w:t xml:space="preserve"> project </w:t>
      </w:r>
      <w:r w:rsidRPr="003D2AB7">
        <w:rPr>
          <w:rFonts w:cstheme="minorHAnsi"/>
          <w:sz w:val="20"/>
          <w:szCs w:val="20"/>
        </w:rPr>
        <w:t>officers are</w:t>
      </w:r>
      <w:r w:rsidR="002A626F" w:rsidRPr="003D2AB7">
        <w:rPr>
          <w:rFonts w:cstheme="minorHAnsi"/>
          <w:sz w:val="20"/>
          <w:szCs w:val="20"/>
        </w:rPr>
        <w:t xml:space="preserve"> primarily involved in:</w:t>
      </w:r>
    </w:p>
    <w:p w14:paraId="0D8CF7A5" w14:textId="77777777" w:rsidR="002A626F" w:rsidRPr="003D2AB7" w:rsidRDefault="002A626F" w:rsidP="00A71D31">
      <w:pPr>
        <w:pStyle w:val="ListParagraph"/>
        <w:numPr>
          <w:ilvl w:val="0"/>
          <w:numId w:val="19"/>
        </w:numPr>
        <w:rPr>
          <w:rFonts w:cstheme="minorHAnsi"/>
          <w:sz w:val="20"/>
          <w:szCs w:val="20"/>
        </w:rPr>
      </w:pPr>
      <w:r w:rsidRPr="003D2AB7">
        <w:rPr>
          <w:rFonts w:cstheme="minorHAnsi"/>
          <w:sz w:val="20"/>
          <w:szCs w:val="20"/>
        </w:rPr>
        <w:t>M</w:t>
      </w:r>
      <w:r w:rsidR="003B60FE" w:rsidRPr="003D2AB7">
        <w:rPr>
          <w:rFonts w:cstheme="minorHAnsi"/>
          <w:sz w:val="20"/>
          <w:szCs w:val="20"/>
        </w:rPr>
        <w:t xml:space="preserve">onitoring and assessing the progress of the proponent projects, </w:t>
      </w:r>
    </w:p>
    <w:p w14:paraId="74051C0D" w14:textId="77777777" w:rsidR="002A626F" w:rsidRPr="003D2AB7" w:rsidRDefault="002A626F" w:rsidP="00A71D31">
      <w:pPr>
        <w:pStyle w:val="ListParagraph"/>
        <w:numPr>
          <w:ilvl w:val="0"/>
          <w:numId w:val="19"/>
        </w:numPr>
        <w:rPr>
          <w:rFonts w:cstheme="minorHAnsi"/>
          <w:sz w:val="20"/>
          <w:szCs w:val="20"/>
        </w:rPr>
      </w:pPr>
      <w:r w:rsidRPr="003D2AB7">
        <w:rPr>
          <w:rFonts w:cstheme="minorHAnsi"/>
          <w:sz w:val="20"/>
          <w:szCs w:val="20"/>
        </w:rPr>
        <w:t>M</w:t>
      </w:r>
      <w:r w:rsidR="003B60FE" w:rsidRPr="003D2AB7">
        <w:rPr>
          <w:rFonts w:cstheme="minorHAnsi"/>
          <w:sz w:val="20"/>
          <w:szCs w:val="20"/>
        </w:rPr>
        <w:t>anaging interactions with the proponent</w:t>
      </w:r>
      <w:r w:rsidRPr="003D2AB7">
        <w:rPr>
          <w:rFonts w:cstheme="minorHAnsi"/>
          <w:sz w:val="20"/>
          <w:szCs w:val="20"/>
        </w:rPr>
        <w:t>, including providing support and guidance;</w:t>
      </w:r>
    </w:p>
    <w:p w14:paraId="031217E3" w14:textId="77777777" w:rsidR="003B60FE" w:rsidRPr="003D2AB7" w:rsidRDefault="002A626F" w:rsidP="00A71D31">
      <w:pPr>
        <w:pStyle w:val="ListParagraph"/>
        <w:numPr>
          <w:ilvl w:val="0"/>
          <w:numId w:val="19"/>
        </w:numPr>
        <w:rPr>
          <w:rFonts w:cstheme="minorHAnsi"/>
          <w:sz w:val="20"/>
          <w:szCs w:val="20"/>
        </w:rPr>
      </w:pPr>
      <w:r w:rsidRPr="003D2AB7">
        <w:rPr>
          <w:rFonts w:cstheme="minorHAnsi"/>
          <w:sz w:val="20"/>
          <w:szCs w:val="20"/>
        </w:rPr>
        <w:t>Reviewing and endorsing interim and final milestone claims; and</w:t>
      </w:r>
    </w:p>
    <w:p w14:paraId="682B0800" w14:textId="77777777" w:rsidR="002A626F" w:rsidRPr="003D2AB7" w:rsidRDefault="002A626F" w:rsidP="00A71D31">
      <w:pPr>
        <w:pStyle w:val="ListParagraph"/>
        <w:numPr>
          <w:ilvl w:val="0"/>
          <w:numId w:val="19"/>
        </w:numPr>
        <w:rPr>
          <w:rFonts w:cstheme="minorHAnsi"/>
          <w:sz w:val="20"/>
          <w:szCs w:val="20"/>
        </w:rPr>
      </w:pPr>
      <w:r w:rsidRPr="003D2AB7">
        <w:rPr>
          <w:rFonts w:cstheme="minorHAnsi"/>
          <w:sz w:val="20"/>
          <w:szCs w:val="20"/>
        </w:rPr>
        <w:t xml:space="preserve">Undertaking project inspections. </w:t>
      </w:r>
    </w:p>
    <w:p w14:paraId="55DECC1B" w14:textId="770C1EEB" w:rsidR="003B60FE" w:rsidRPr="003D2AB7" w:rsidRDefault="002A626F" w:rsidP="00A27428">
      <w:pPr>
        <w:spacing w:before="120" w:after="120" w:line="240" w:lineRule="auto"/>
        <w:rPr>
          <w:rFonts w:cstheme="minorHAnsi"/>
          <w:sz w:val="20"/>
          <w:szCs w:val="20"/>
        </w:rPr>
      </w:pPr>
      <w:r w:rsidRPr="003D2AB7">
        <w:rPr>
          <w:rFonts w:cstheme="minorHAnsi"/>
          <w:sz w:val="20"/>
          <w:szCs w:val="20"/>
        </w:rPr>
        <w:t>The</w:t>
      </w:r>
      <w:r w:rsidR="00597743" w:rsidRPr="003D2AB7">
        <w:rPr>
          <w:rFonts w:cstheme="minorHAnsi"/>
          <w:sz w:val="20"/>
          <w:szCs w:val="20"/>
        </w:rPr>
        <w:t xml:space="preserve"> IFM project has not mandated the use</w:t>
      </w:r>
      <w:r w:rsidRPr="003D2AB7">
        <w:rPr>
          <w:rFonts w:cstheme="minorHAnsi"/>
          <w:sz w:val="20"/>
          <w:szCs w:val="20"/>
        </w:rPr>
        <w:t xml:space="preserve"> of project management systems, however </w:t>
      </w:r>
      <w:r w:rsidR="00597743" w:rsidRPr="003D2AB7">
        <w:rPr>
          <w:rFonts w:cstheme="minorHAnsi"/>
          <w:sz w:val="20"/>
          <w:szCs w:val="20"/>
        </w:rPr>
        <w:t xml:space="preserve">project </w:t>
      </w:r>
      <w:r w:rsidRPr="003D2AB7">
        <w:rPr>
          <w:rFonts w:cstheme="minorHAnsi"/>
          <w:sz w:val="20"/>
          <w:szCs w:val="20"/>
        </w:rPr>
        <w:t xml:space="preserve">officers </w:t>
      </w:r>
      <w:r w:rsidR="00597743" w:rsidRPr="003D2AB7">
        <w:rPr>
          <w:rFonts w:cstheme="minorHAnsi"/>
          <w:sz w:val="20"/>
          <w:szCs w:val="20"/>
        </w:rPr>
        <w:t xml:space="preserve">have access </w:t>
      </w:r>
      <w:r w:rsidR="006A2D6A" w:rsidRPr="003D2AB7">
        <w:rPr>
          <w:rFonts w:cstheme="minorHAnsi"/>
          <w:sz w:val="20"/>
          <w:szCs w:val="20"/>
        </w:rPr>
        <w:t xml:space="preserve">to </w:t>
      </w:r>
      <w:r w:rsidR="00597743" w:rsidRPr="003D2AB7">
        <w:rPr>
          <w:rFonts w:cstheme="minorHAnsi"/>
          <w:sz w:val="20"/>
          <w:szCs w:val="20"/>
        </w:rPr>
        <w:t>digital tracking sheets to manage interactions with proponents</w:t>
      </w:r>
      <w:r w:rsidRPr="003D2AB7">
        <w:rPr>
          <w:rFonts w:cstheme="minorHAnsi"/>
          <w:sz w:val="20"/>
          <w:szCs w:val="20"/>
        </w:rPr>
        <w:t>, as required</w:t>
      </w:r>
      <w:r w:rsidR="00597743" w:rsidRPr="003D2AB7">
        <w:rPr>
          <w:rFonts w:cstheme="minorHAnsi"/>
          <w:sz w:val="20"/>
          <w:szCs w:val="20"/>
        </w:rPr>
        <w:t>. All official documentation and correspondence is maintained on DPIs records management system</w:t>
      </w:r>
      <w:r w:rsidR="003C7309" w:rsidRPr="003D2AB7">
        <w:rPr>
          <w:rFonts w:cstheme="minorHAnsi"/>
          <w:sz w:val="20"/>
          <w:szCs w:val="20"/>
        </w:rPr>
        <w:t>,</w:t>
      </w:r>
      <w:r w:rsidRPr="003D2AB7">
        <w:rPr>
          <w:rFonts w:cstheme="minorHAnsi"/>
          <w:sz w:val="20"/>
          <w:szCs w:val="20"/>
        </w:rPr>
        <w:t xml:space="preserve"> </w:t>
      </w:r>
      <w:r w:rsidR="006A2D6A" w:rsidRPr="003D2AB7">
        <w:rPr>
          <w:rFonts w:cstheme="minorHAnsi"/>
          <w:sz w:val="20"/>
          <w:szCs w:val="20"/>
        </w:rPr>
        <w:t xml:space="preserve">which is </w:t>
      </w:r>
      <w:r w:rsidRPr="003D2AB7">
        <w:rPr>
          <w:rFonts w:cstheme="minorHAnsi"/>
          <w:sz w:val="20"/>
          <w:szCs w:val="20"/>
        </w:rPr>
        <w:t>discussed further in this section</w:t>
      </w:r>
      <w:r w:rsidR="00597743" w:rsidRPr="003D2AB7">
        <w:rPr>
          <w:rFonts w:cstheme="minorHAnsi"/>
          <w:sz w:val="20"/>
          <w:szCs w:val="20"/>
        </w:rPr>
        <w:t>.</w:t>
      </w:r>
    </w:p>
    <w:p w14:paraId="5F490C10" w14:textId="77777777" w:rsidR="00597743" w:rsidRPr="003D2AB7" w:rsidRDefault="00597743" w:rsidP="00597743">
      <w:pPr>
        <w:spacing w:before="120" w:after="120" w:line="240" w:lineRule="auto"/>
        <w:rPr>
          <w:rFonts w:cstheme="minorHAnsi"/>
          <w:sz w:val="20"/>
          <w:szCs w:val="20"/>
        </w:rPr>
      </w:pPr>
      <w:r w:rsidRPr="003D2AB7">
        <w:rPr>
          <w:rFonts w:cstheme="minorHAnsi"/>
          <w:sz w:val="20"/>
          <w:szCs w:val="20"/>
        </w:rPr>
        <w:t>To support</w:t>
      </w:r>
      <w:r w:rsidR="002A626F" w:rsidRPr="003D2AB7">
        <w:rPr>
          <w:rFonts w:cstheme="minorHAnsi"/>
          <w:sz w:val="20"/>
          <w:szCs w:val="20"/>
        </w:rPr>
        <w:t xml:space="preserve"> the management and monitoring of proponents, DPI maintain a </w:t>
      </w:r>
      <w:r w:rsidRPr="003D2AB7">
        <w:rPr>
          <w:rFonts w:cstheme="minorHAnsi"/>
          <w:sz w:val="20"/>
          <w:szCs w:val="20"/>
        </w:rPr>
        <w:t>comprehensive contract database</w:t>
      </w:r>
      <w:r w:rsidR="002A626F" w:rsidRPr="003D2AB7">
        <w:rPr>
          <w:rFonts w:cstheme="minorHAnsi"/>
          <w:sz w:val="20"/>
          <w:szCs w:val="20"/>
        </w:rPr>
        <w:t xml:space="preserve">. This records and tracks </w:t>
      </w:r>
      <w:r w:rsidRPr="003D2AB7">
        <w:rPr>
          <w:rFonts w:cstheme="minorHAnsi"/>
          <w:sz w:val="20"/>
          <w:szCs w:val="20"/>
        </w:rPr>
        <w:t>all key</w:t>
      </w:r>
      <w:r w:rsidR="002A626F" w:rsidRPr="003D2AB7">
        <w:rPr>
          <w:rFonts w:cstheme="minorHAnsi"/>
          <w:sz w:val="20"/>
          <w:szCs w:val="20"/>
        </w:rPr>
        <w:t xml:space="preserve"> proponent information including</w:t>
      </w:r>
      <w:r w:rsidRPr="003D2AB7">
        <w:rPr>
          <w:rFonts w:cstheme="minorHAnsi"/>
          <w:sz w:val="20"/>
          <w:szCs w:val="20"/>
        </w:rPr>
        <w:t xml:space="preserve"> financial data, application details, payment information</w:t>
      </w:r>
      <w:r w:rsidR="002A626F" w:rsidRPr="003D2AB7">
        <w:rPr>
          <w:rFonts w:cstheme="minorHAnsi"/>
          <w:sz w:val="20"/>
          <w:szCs w:val="20"/>
        </w:rPr>
        <w:t xml:space="preserve">, </w:t>
      </w:r>
      <w:r w:rsidR="009F452D" w:rsidRPr="003D2AB7">
        <w:rPr>
          <w:rFonts w:cstheme="minorHAnsi"/>
          <w:sz w:val="20"/>
          <w:szCs w:val="20"/>
        </w:rPr>
        <w:t xml:space="preserve">water </w:t>
      </w:r>
      <w:r w:rsidR="002A626F" w:rsidRPr="003D2AB7">
        <w:rPr>
          <w:rFonts w:cstheme="minorHAnsi"/>
          <w:sz w:val="20"/>
          <w:szCs w:val="20"/>
        </w:rPr>
        <w:t>transfer details</w:t>
      </w:r>
      <w:r w:rsidRPr="003D2AB7">
        <w:rPr>
          <w:rFonts w:cstheme="minorHAnsi"/>
          <w:sz w:val="20"/>
          <w:szCs w:val="20"/>
        </w:rPr>
        <w:t xml:space="preserve"> and progress</w:t>
      </w:r>
      <w:r w:rsidR="002A626F" w:rsidRPr="003D2AB7">
        <w:rPr>
          <w:rFonts w:cstheme="minorHAnsi"/>
          <w:sz w:val="20"/>
          <w:szCs w:val="20"/>
        </w:rPr>
        <w:t xml:space="preserve"> of works</w:t>
      </w:r>
      <w:r w:rsidRPr="003D2AB7">
        <w:rPr>
          <w:rFonts w:cstheme="minorHAnsi"/>
          <w:sz w:val="20"/>
          <w:szCs w:val="20"/>
        </w:rPr>
        <w:t xml:space="preserve">. It is used as the </w:t>
      </w:r>
      <w:r w:rsidR="002A626F" w:rsidRPr="003D2AB7">
        <w:rPr>
          <w:rFonts w:cstheme="minorHAnsi"/>
          <w:sz w:val="20"/>
          <w:szCs w:val="20"/>
        </w:rPr>
        <w:t>primary source of information for IFM project reporting</w:t>
      </w:r>
      <w:r w:rsidRPr="003D2AB7">
        <w:rPr>
          <w:rFonts w:cstheme="minorHAnsi"/>
          <w:sz w:val="20"/>
          <w:szCs w:val="20"/>
        </w:rPr>
        <w:t xml:space="preserve">. </w:t>
      </w:r>
      <w:r w:rsidR="002A626F" w:rsidRPr="003D2AB7">
        <w:rPr>
          <w:rFonts w:cstheme="minorHAnsi"/>
          <w:sz w:val="20"/>
          <w:szCs w:val="20"/>
        </w:rPr>
        <w:t xml:space="preserve">The database is </w:t>
      </w:r>
      <w:r w:rsidR="002D7021" w:rsidRPr="003D2AB7">
        <w:rPr>
          <w:rFonts w:cstheme="minorHAnsi"/>
          <w:sz w:val="20"/>
          <w:szCs w:val="20"/>
        </w:rPr>
        <w:t>maintained</w:t>
      </w:r>
      <w:r w:rsidRPr="003D2AB7">
        <w:rPr>
          <w:rFonts w:cstheme="minorHAnsi"/>
          <w:sz w:val="20"/>
          <w:szCs w:val="20"/>
        </w:rPr>
        <w:t xml:space="preserve"> and updated by the IFM </w:t>
      </w:r>
      <w:r w:rsidR="002A626F" w:rsidRPr="003D2AB7">
        <w:rPr>
          <w:rFonts w:cstheme="minorHAnsi"/>
          <w:sz w:val="20"/>
          <w:szCs w:val="20"/>
        </w:rPr>
        <w:t>administration</w:t>
      </w:r>
      <w:r w:rsidRPr="003D2AB7">
        <w:rPr>
          <w:rFonts w:cstheme="minorHAnsi"/>
          <w:sz w:val="20"/>
          <w:szCs w:val="20"/>
        </w:rPr>
        <w:t xml:space="preserve"> team.</w:t>
      </w:r>
    </w:p>
    <w:p w14:paraId="10609D01" w14:textId="77777777" w:rsidR="00871FD3" w:rsidRPr="003D2AB7" w:rsidRDefault="00871FD3"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Record keeping </w:t>
      </w:r>
    </w:p>
    <w:p w14:paraId="6573E503" w14:textId="77777777" w:rsidR="009E6AD6" w:rsidRPr="003D2AB7" w:rsidRDefault="002A626F" w:rsidP="00A27428">
      <w:pPr>
        <w:spacing w:before="120" w:after="120" w:line="240" w:lineRule="auto"/>
        <w:rPr>
          <w:rFonts w:cstheme="minorHAnsi"/>
          <w:sz w:val="20"/>
          <w:szCs w:val="20"/>
        </w:rPr>
      </w:pPr>
      <w:r w:rsidRPr="003D2AB7">
        <w:rPr>
          <w:rFonts w:cstheme="minorHAnsi"/>
          <w:sz w:val="20"/>
          <w:szCs w:val="20"/>
        </w:rPr>
        <w:t xml:space="preserve">The IFM project team have established and adhere to strict document management protocols, which includes establishing a defined folder structure and naming convention. </w:t>
      </w:r>
      <w:r w:rsidR="009E6AD6" w:rsidRPr="003D2AB7">
        <w:rPr>
          <w:rFonts w:cstheme="minorHAnsi"/>
          <w:sz w:val="20"/>
          <w:szCs w:val="20"/>
        </w:rPr>
        <w:t xml:space="preserve">DPI utilises an electronic records management system (CM9) to maintain and store all documentation related to the IFM project. While this is supported by hard copy files, CM9 serves as the official record management system. All documentation relevant to the project, including </w:t>
      </w:r>
      <w:r w:rsidR="006A2D6A" w:rsidRPr="003D2AB7">
        <w:rPr>
          <w:rFonts w:cstheme="minorHAnsi"/>
          <w:sz w:val="20"/>
          <w:szCs w:val="20"/>
        </w:rPr>
        <w:t xml:space="preserve">interactions </w:t>
      </w:r>
      <w:r w:rsidR="009E6AD6" w:rsidRPr="003D2AB7">
        <w:rPr>
          <w:rFonts w:cstheme="minorHAnsi"/>
          <w:sz w:val="20"/>
          <w:szCs w:val="20"/>
        </w:rPr>
        <w:t xml:space="preserve">with proponents, are provided to administrative staff who are responsible for storing documentation </w:t>
      </w:r>
      <w:r w:rsidR="006A2D6A" w:rsidRPr="003D2AB7">
        <w:rPr>
          <w:rFonts w:cstheme="minorHAnsi"/>
          <w:sz w:val="20"/>
          <w:szCs w:val="20"/>
        </w:rPr>
        <w:t xml:space="preserve">in the </w:t>
      </w:r>
      <w:r w:rsidR="009E6AD6" w:rsidRPr="003D2AB7">
        <w:rPr>
          <w:rFonts w:cstheme="minorHAnsi"/>
          <w:sz w:val="20"/>
          <w:szCs w:val="20"/>
        </w:rPr>
        <w:t xml:space="preserve">respective project management folder structure. Access to folders is </w:t>
      </w:r>
      <w:r w:rsidR="006A2D6A" w:rsidRPr="003D2AB7">
        <w:rPr>
          <w:rFonts w:cstheme="minorHAnsi"/>
          <w:sz w:val="20"/>
          <w:szCs w:val="20"/>
        </w:rPr>
        <w:t xml:space="preserve">restricted </w:t>
      </w:r>
      <w:r w:rsidR="009E6AD6" w:rsidRPr="003D2AB7">
        <w:rPr>
          <w:rFonts w:cstheme="minorHAnsi"/>
          <w:sz w:val="20"/>
          <w:szCs w:val="20"/>
        </w:rPr>
        <w:t xml:space="preserve">to project staff. </w:t>
      </w:r>
    </w:p>
    <w:p w14:paraId="2A258007" w14:textId="77777777" w:rsidR="00871FD3" w:rsidRPr="003D2AB7" w:rsidRDefault="009E6AD6" w:rsidP="000314AA">
      <w:pPr>
        <w:spacing w:before="120" w:after="120" w:line="240" w:lineRule="auto"/>
        <w:rPr>
          <w:rFonts w:cstheme="minorHAnsi"/>
          <w:sz w:val="20"/>
          <w:szCs w:val="20"/>
        </w:rPr>
      </w:pPr>
      <w:r w:rsidRPr="003D2AB7">
        <w:rPr>
          <w:rFonts w:cstheme="minorHAnsi"/>
          <w:sz w:val="20"/>
          <w:szCs w:val="20"/>
        </w:rPr>
        <w:t>A</w:t>
      </w:r>
      <w:r w:rsidR="00BB3003" w:rsidRPr="003D2AB7">
        <w:rPr>
          <w:rFonts w:cstheme="minorHAnsi"/>
          <w:sz w:val="20"/>
          <w:szCs w:val="20"/>
        </w:rPr>
        <w:t>ll key</w:t>
      </w:r>
      <w:r w:rsidR="00871FD3" w:rsidRPr="003D2AB7">
        <w:rPr>
          <w:rFonts w:cstheme="minorHAnsi"/>
          <w:sz w:val="20"/>
          <w:szCs w:val="20"/>
        </w:rPr>
        <w:t xml:space="preserve"> documentat</w:t>
      </w:r>
      <w:r w:rsidRPr="003D2AB7">
        <w:rPr>
          <w:rFonts w:cstheme="minorHAnsi"/>
          <w:sz w:val="20"/>
          <w:szCs w:val="20"/>
        </w:rPr>
        <w:t xml:space="preserve">ion appeared to be </w:t>
      </w:r>
      <w:r w:rsidR="00871FD3" w:rsidRPr="003D2AB7">
        <w:rPr>
          <w:rFonts w:cstheme="minorHAnsi"/>
          <w:sz w:val="20"/>
          <w:szCs w:val="20"/>
        </w:rPr>
        <w:t>filed and stored appropriately</w:t>
      </w:r>
      <w:r w:rsidRPr="003D2AB7">
        <w:rPr>
          <w:rFonts w:cstheme="minorHAnsi"/>
          <w:sz w:val="20"/>
          <w:szCs w:val="20"/>
        </w:rPr>
        <w:t>, additional</w:t>
      </w:r>
      <w:r w:rsidR="002A626F" w:rsidRPr="003D2AB7">
        <w:rPr>
          <w:rFonts w:cstheme="minorHAnsi"/>
          <w:sz w:val="20"/>
          <w:szCs w:val="20"/>
        </w:rPr>
        <w:t>ly</w:t>
      </w:r>
      <w:r w:rsidRPr="003D2AB7">
        <w:rPr>
          <w:rFonts w:cstheme="minorHAnsi"/>
          <w:sz w:val="20"/>
          <w:szCs w:val="20"/>
        </w:rPr>
        <w:t xml:space="preserve"> all relevant documentation for sample testing was made available upon request</w:t>
      </w:r>
      <w:r w:rsidR="009C78C2" w:rsidRPr="003D2AB7">
        <w:rPr>
          <w:rFonts w:cstheme="minorHAnsi"/>
          <w:sz w:val="20"/>
          <w:szCs w:val="20"/>
        </w:rPr>
        <w:t xml:space="preserve">. </w:t>
      </w:r>
    </w:p>
    <w:p w14:paraId="7BAD6182" w14:textId="77777777" w:rsidR="00871FD3" w:rsidRPr="003D2AB7" w:rsidRDefault="00871FD3"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Staff training and guidance </w:t>
      </w:r>
    </w:p>
    <w:p w14:paraId="4582B7AE" w14:textId="77777777" w:rsidR="002A626F" w:rsidRPr="003D2AB7" w:rsidRDefault="00871FD3" w:rsidP="00871FD3">
      <w:pPr>
        <w:rPr>
          <w:rFonts w:cstheme="minorHAnsi"/>
          <w:sz w:val="20"/>
          <w:szCs w:val="20"/>
        </w:rPr>
      </w:pPr>
      <w:r w:rsidRPr="003D2AB7">
        <w:rPr>
          <w:rFonts w:cstheme="minorHAnsi"/>
          <w:sz w:val="20"/>
          <w:szCs w:val="20"/>
        </w:rPr>
        <w:t xml:space="preserve">Discussions with </w:t>
      </w:r>
      <w:r w:rsidR="002A626F" w:rsidRPr="003D2AB7">
        <w:rPr>
          <w:rFonts w:cstheme="minorHAnsi"/>
          <w:sz w:val="20"/>
          <w:szCs w:val="20"/>
        </w:rPr>
        <w:t>DPI</w:t>
      </w:r>
      <w:r w:rsidRPr="003D2AB7">
        <w:rPr>
          <w:rFonts w:cstheme="minorHAnsi"/>
          <w:sz w:val="20"/>
          <w:szCs w:val="20"/>
        </w:rPr>
        <w:t xml:space="preserve"> identified that </w:t>
      </w:r>
      <w:r w:rsidR="00557439" w:rsidRPr="003D2AB7">
        <w:rPr>
          <w:rFonts w:cstheme="minorHAnsi"/>
          <w:sz w:val="20"/>
          <w:szCs w:val="20"/>
        </w:rPr>
        <w:t xml:space="preserve">all project staff have undertaken </w:t>
      </w:r>
      <w:r w:rsidR="009F452D" w:rsidRPr="003D2AB7">
        <w:rPr>
          <w:rFonts w:cstheme="minorHAnsi"/>
          <w:sz w:val="20"/>
          <w:szCs w:val="20"/>
        </w:rPr>
        <w:t>project</w:t>
      </w:r>
      <w:r w:rsidR="00557439" w:rsidRPr="003D2AB7">
        <w:rPr>
          <w:rFonts w:cstheme="minorHAnsi"/>
          <w:sz w:val="20"/>
          <w:szCs w:val="20"/>
        </w:rPr>
        <w:t xml:space="preserve"> management training, provided by an external service provider. The project officers</w:t>
      </w:r>
      <w:r w:rsidRPr="003D2AB7">
        <w:rPr>
          <w:rFonts w:cstheme="minorHAnsi"/>
          <w:sz w:val="20"/>
          <w:szCs w:val="20"/>
        </w:rPr>
        <w:t xml:space="preserve"> have a background in </w:t>
      </w:r>
      <w:r w:rsidR="009F452D" w:rsidRPr="003D2AB7">
        <w:rPr>
          <w:rFonts w:cstheme="minorHAnsi"/>
          <w:sz w:val="20"/>
          <w:szCs w:val="20"/>
        </w:rPr>
        <w:t>project</w:t>
      </w:r>
      <w:r w:rsidRPr="003D2AB7">
        <w:rPr>
          <w:rFonts w:cstheme="minorHAnsi"/>
          <w:sz w:val="20"/>
          <w:szCs w:val="20"/>
        </w:rPr>
        <w:t xml:space="preserve"> management</w:t>
      </w:r>
      <w:r w:rsidR="00557439" w:rsidRPr="003D2AB7">
        <w:rPr>
          <w:rFonts w:cstheme="minorHAnsi"/>
          <w:sz w:val="20"/>
          <w:szCs w:val="20"/>
        </w:rPr>
        <w:t xml:space="preserve"> and / or engineering as well as experience in </w:t>
      </w:r>
      <w:r w:rsidRPr="003D2AB7">
        <w:rPr>
          <w:rFonts w:cstheme="minorHAnsi"/>
          <w:sz w:val="20"/>
          <w:szCs w:val="20"/>
        </w:rPr>
        <w:t xml:space="preserve">understanding of water </w:t>
      </w:r>
      <w:r w:rsidR="00557439" w:rsidRPr="003D2AB7">
        <w:rPr>
          <w:rFonts w:cstheme="minorHAnsi"/>
          <w:sz w:val="20"/>
          <w:szCs w:val="20"/>
        </w:rPr>
        <w:t xml:space="preserve">infrastructure </w:t>
      </w:r>
      <w:r w:rsidRPr="003D2AB7">
        <w:rPr>
          <w:rFonts w:cstheme="minorHAnsi"/>
          <w:sz w:val="20"/>
          <w:szCs w:val="20"/>
        </w:rPr>
        <w:t xml:space="preserve">projects or similar works. Whilst there is no specific </w:t>
      </w:r>
      <w:r w:rsidR="00557439" w:rsidRPr="003D2AB7">
        <w:rPr>
          <w:rFonts w:cstheme="minorHAnsi"/>
          <w:sz w:val="20"/>
          <w:szCs w:val="20"/>
        </w:rPr>
        <w:t xml:space="preserve">IFM </w:t>
      </w:r>
      <w:r w:rsidRPr="003D2AB7">
        <w:rPr>
          <w:rFonts w:cstheme="minorHAnsi"/>
          <w:sz w:val="20"/>
          <w:szCs w:val="20"/>
        </w:rPr>
        <w:t>training</w:t>
      </w:r>
      <w:r w:rsidR="00557439" w:rsidRPr="003D2AB7">
        <w:rPr>
          <w:rFonts w:cstheme="minorHAnsi"/>
          <w:sz w:val="20"/>
          <w:szCs w:val="20"/>
        </w:rPr>
        <w:t xml:space="preserve">, DPI have developed detailed standard operating </w:t>
      </w:r>
      <w:r w:rsidR="006A2D6A" w:rsidRPr="003D2AB7">
        <w:rPr>
          <w:rFonts w:cstheme="minorHAnsi"/>
          <w:sz w:val="20"/>
          <w:szCs w:val="20"/>
        </w:rPr>
        <w:t>procedures,</w:t>
      </w:r>
      <w:r w:rsidR="00557439" w:rsidRPr="003D2AB7">
        <w:rPr>
          <w:rFonts w:cstheme="minorHAnsi"/>
          <w:sz w:val="20"/>
          <w:szCs w:val="20"/>
        </w:rPr>
        <w:t xml:space="preserve"> tools and templates to support all key project processes. </w:t>
      </w:r>
    </w:p>
    <w:p w14:paraId="42CD6700" w14:textId="77777777" w:rsidR="00871FD3" w:rsidRPr="003D2AB7" w:rsidRDefault="00557439" w:rsidP="00871FD3">
      <w:pPr>
        <w:rPr>
          <w:rFonts w:cstheme="minorHAnsi"/>
          <w:sz w:val="20"/>
          <w:szCs w:val="20"/>
        </w:rPr>
      </w:pPr>
      <w:r w:rsidRPr="003D2AB7">
        <w:rPr>
          <w:rFonts w:cstheme="minorHAnsi"/>
          <w:sz w:val="20"/>
          <w:szCs w:val="20"/>
        </w:rPr>
        <w:t>DPI have engaged</w:t>
      </w:r>
      <w:r w:rsidR="00871FD3" w:rsidRPr="003D2AB7">
        <w:rPr>
          <w:rFonts w:cstheme="minorHAnsi"/>
          <w:sz w:val="20"/>
          <w:szCs w:val="20"/>
        </w:rPr>
        <w:t xml:space="preserve"> specialist </w:t>
      </w:r>
      <w:r w:rsidRPr="003D2AB7">
        <w:rPr>
          <w:rFonts w:cstheme="minorHAnsi"/>
          <w:sz w:val="20"/>
          <w:szCs w:val="20"/>
        </w:rPr>
        <w:t>providers</w:t>
      </w:r>
      <w:r w:rsidR="008A13CF" w:rsidRPr="003D2AB7">
        <w:rPr>
          <w:rFonts w:cstheme="minorHAnsi"/>
          <w:sz w:val="20"/>
          <w:szCs w:val="20"/>
        </w:rPr>
        <w:t xml:space="preserve"> to support some aspects of the program to support transparency and accountability</w:t>
      </w:r>
      <w:r w:rsidRPr="003D2AB7">
        <w:rPr>
          <w:rFonts w:cstheme="minorHAnsi"/>
          <w:sz w:val="20"/>
          <w:szCs w:val="20"/>
        </w:rPr>
        <w:t>, for example</w:t>
      </w:r>
      <w:r w:rsidR="006A2D6A" w:rsidRPr="003D2AB7">
        <w:rPr>
          <w:rFonts w:cstheme="minorHAnsi"/>
          <w:sz w:val="20"/>
          <w:szCs w:val="20"/>
        </w:rPr>
        <w:t>,</w:t>
      </w:r>
      <w:r w:rsidR="009C78C2" w:rsidRPr="003D2AB7">
        <w:rPr>
          <w:rFonts w:cstheme="minorHAnsi"/>
          <w:sz w:val="20"/>
          <w:szCs w:val="20"/>
        </w:rPr>
        <w:t xml:space="preserve"> technical assessors </w:t>
      </w:r>
      <w:r w:rsidRPr="003D2AB7">
        <w:rPr>
          <w:rFonts w:cstheme="minorHAnsi"/>
          <w:sz w:val="20"/>
          <w:szCs w:val="20"/>
        </w:rPr>
        <w:t xml:space="preserve">for application assessment </w:t>
      </w:r>
      <w:r w:rsidR="009C78C2" w:rsidRPr="003D2AB7">
        <w:rPr>
          <w:rFonts w:cstheme="minorHAnsi"/>
          <w:sz w:val="20"/>
          <w:szCs w:val="20"/>
        </w:rPr>
        <w:t>and probity advisors.</w:t>
      </w:r>
    </w:p>
    <w:p w14:paraId="5CF54E34" w14:textId="77777777" w:rsidR="00871FD3" w:rsidRPr="003D2AB7" w:rsidRDefault="00871FD3"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Project variations </w:t>
      </w:r>
    </w:p>
    <w:p w14:paraId="49C60D9C" w14:textId="71B973DE" w:rsidR="00BE4870" w:rsidRPr="003D2AB7" w:rsidRDefault="00BE4870" w:rsidP="00F74EDA">
      <w:pPr>
        <w:spacing w:before="120" w:after="120" w:line="240" w:lineRule="auto"/>
        <w:rPr>
          <w:rFonts w:cstheme="minorHAnsi"/>
          <w:sz w:val="20"/>
          <w:szCs w:val="20"/>
        </w:rPr>
      </w:pPr>
      <w:r w:rsidRPr="003D2AB7">
        <w:rPr>
          <w:rFonts w:cstheme="minorHAnsi"/>
          <w:sz w:val="20"/>
          <w:szCs w:val="20"/>
        </w:rPr>
        <w:t>P</w:t>
      </w:r>
      <w:r w:rsidR="009A2D5F" w:rsidRPr="003D2AB7">
        <w:rPr>
          <w:rFonts w:cstheme="minorHAnsi"/>
          <w:sz w:val="20"/>
          <w:szCs w:val="20"/>
        </w:rPr>
        <w:t xml:space="preserve">roject variations are </w:t>
      </w:r>
      <w:r w:rsidR="009F452D" w:rsidRPr="003D2AB7">
        <w:rPr>
          <w:rFonts w:cstheme="minorHAnsi"/>
          <w:sz w:val="20"/>
          <w:szCs w:val="20"/>
        </w:rPr>
        <w:t>raised by proponents in in consultation with</w:t>
      </w:r>
      <w:r w:rsidR="009A2D5F" w:rsidRPr="003D2AB7">
        <w:rPr>
          <w:rFonts w:cstheme="minorHAnsi"/>
          <w:sz w:val="20"/>
          <w:szCs w:val="20"/>
        </w:rPr>
        <w:t xml:space="preserve"> project officers</w:t>
      </w:r>
      <w:r w:rsidR="009F452D" w:rsidRPr="003D2AB7">
        <w:rPr>
          <w:rFonts w:cstheme="minorHAnsi"/>
          <w:sz w:val="20"/>
          <w:szCs w:val="20"/>
        </w:rPr>
        <w:t>. The variations are then</w:t>
      </w:r>
      <w:r w:rsidR="009A2D5F" w:rsidRPr="003D2AB7">
        <w:rPr>
          <w:rFonts w:cstheme="minorHAnsi"/>
          <w:sz w:val="20"/>
          <w:szCs w:val="20"/>
        </w:rPr>
        <w:t xml:space="preserve"> reviewed and </w:t>
      </w:r>
      <w:r w:rsidRPr="003D2AB7">
        <w:rPr>
          <w:rFonts w:cstheme="minorHAnsi"/>
          <w:sz w:val="20"/>
          <w:szCs w:val="20"/>
        </w:rPr>
        <w:t xml:space="preserve">endorsed </w:t>
      </w:r>
      <w:r w:rsidR="009A2D5F" w:rsidRPr="003D2AB7">
        <w:rPr>
          <w:rFonts w:cstheme="minorHAnsi"/>
          <w:sz w:val="20"/>
          <w:szCs w:val="20"/>
        </w:rPr>
        <w:t xml:space="preserve">by the Leader, STBIFM </w:t>
      </w:r>
      <w:r w:rsidRPr="003D2AB7">
        <w:rPr>
          <w:rFonts w:cstheme="minorHAnsi"/>
          <w:sz w:val="20"/>
          <w:szCs w:val="20"/>
        </w:rPr>
        <w:t xml:space="preserve">and effected through a deed of variation signed by the </w:t>
      </w:r>
      <w:r w:rsidR="009A2D5F" w:rsidRPr="003D2AB7">
        <w:rPr>
          <w:rFonts w:cstheme="minorHAnsi"/>
          <w:sz w:val="20"/>
          <w:szCs w:val="20"/>
        </w:rPr>
        <w:t xml:space="preserve">Director, Water and Irrigation. </w:t>
      </w:r>
    </w:p>
    <w:p w14:paraId="4E050904" w14:textId="77777777" w:rsidR="009C78C2" w:rsidRPr="003D2AB7" w:rsidRDefault="00257432" w:rsidP="00F74EDA">
      <w:pPr>
        <w:spacing w:before="120" w:after="120" w:line="240" w:lineRule="auto"/>
        <w:rPr>
          <w:rFonts w:cstheme="minorHAnsi"/>
          <w:sz w:val="20"/>
          <w:szCs w:val="20"/>
        </w:rPr>
      </w:pPr>
      <w:r w:rsidRPr="003D2AB7">
        <w:rPr>
          <w:rFonts w:cstheme="minorHAnsi"/>
          <w:sz w:val="20"/>
          <w:szCs w:val="20"/>
        </w:rPr>
        <w:t xml:space="preserve">One variation selected in our sample </w:t>
      </w:r>
      <w:r w:rsidR="00DE3A9B" w:rsidRPr="003D2AB7">
        <w:rPr>
          <w:rFonts w:cstheme="minorHAnsi"/>
          <w:sz w:val="20"/>
          <w:szCs w:val="20"/>
        </w:rPr>
        <w:t xml:space="preserve">was provided to the proponent prior to final approval by DPI. This error was </w:t>
      </w:r>
      <w:r w:rsidRPr="003D2AB7">
        <w:rPr>
          <w:rFonts w:cstheme="minorHAnsi"/>
          <w:sz w:val="20"/>
          <w:szCs w:val="20"/>
        </w:rPr>
        <w:t>i</w:t>
      </w:r>
      <w:r w:rsidR="00DE3A9B" w:rsidRPr="003D2AB7">
        <w:rPr>
          <w:rFonts w:cstheme="minorHAnsi"/>
          <w:sz w:val="20"/>
          <w:szCs w:val="20"/>
        </w:rPr>
        <w:t xml:space="preserve">dentified and </w:t>
      </w:r>
      <w:r w:rsidRPr="003D2AB7">
        <w:rPr>
          <w:rFonts w:cstheme="minorHAnsi"/>
          <w:sz w:val="20"/>
          <w:szCs w:val="20"/>
        </w:rPr>
        <w:t xml:space="preserve">documented on the project file </w:t>
      </w:r>
      <w:r w:rsidR="00DE3A9B" w:rsidRPr="003D2AB7">
        <w:rPr>
          <w:rFonts w:cstheme="minorHAnsi"/>
          <w:sz w:val="20"/>
          <w:szCs w:val="20"/>
        </w:rPr>
        <w:t xml:space="preserve">at the time of providing the variation to the proponent. </w:t>
      </w:r>
      <w:r w:rsidR="005773AC" w:rsidRPr="003D2AB7">
        <w:rPr>
          <w:rFonts w:cstheme="minorHAnsi"/>
          <w:sz w:val="20"/>
          <w:szCs w:val="20"/>
        </w:rPr>
        <w:t xml:space="preserve">Where required, all </w:t>
      </w:r>
      <w:r w:rsidR="00DE3A9B" w:rsidRPr="003D2AB7">
        <w:rPr>
          <w:rFonts w:cstheme="minorHAnsi"/>
          <w:sz w:val="20"/>
          <w:szCs w:val="20"/>
        </w:rPr>
        <w:t xml:space="preserve">other </w:t>
      </w:r>
      <w:r w:rsidR="005773AC" w:rsidRPr="003D2AB7">
        <w:rPr>
          <w:rFonts w:cstheme="minorHAnsi"/>
          <w:sz w:val="20"/>
          <w:szCs w:val="20"/>
        </w:rPr>
        <w:t xml:space="preserve">variations within the sample of </w:t>
      </w:r>
      <w:r w:rsidR="00BE4870" w:rsidRPr="003D2AB7">
        <w:rPr>
          <w:rFonts w:cstheme="minorHAnsi"/>
          <w:sz w:val="20"/>
          <w:szCs w:val="20"/>
        </w:rPr>
        <w:t xml:space="preserve">proponent </w:t>
      </w:r>
      <w:r w:rsidR="005773AC" w:rsidRPr="003D2AB7">
        <w:rPr>
          <w:rFonts w:cstheme="minorHAnsi"/>
          <w:sz w:val="20"/>
          <w:szCs w:val="20"/>
        </w:rPr>
        <w:t xml:space="preserve">projects </w:t>
      </w:r>
      <w:r w:rsidR="00BE4870" w:rsidRPr="003D2AB7">
        <w:rPr>
          <w:rFonts w:cstheme="minorHAnsi"/>
          <w:sz w:val="20"/>
          <w:szCs w:val="20"/>
        </w:rPr>
        <w:t xml:space="preserve">were executed in accordance with </w:t>
      </w:r>
      <w:r w:rsidR="00DE3A9B" w:rsidRPr="003D2AB7">
        <w:rPr>
          <w:rFonts w:cstheme="minorHAnsi"/>
          <w:sz w:val="20"/>
          <w:szCs w:val="20"/>
        </w:rPr>
        <w:t xml:space="preserve">the </w:t>
      </w:r>
      <w:r w:rsidR="00BE4870" w:rsidRPr="003D2AB7">
        <w:rPr>
          <w:rFonts w:cstheme="minorHAnsi"/>
          <w:sz w:val="20"/>
          <w:szCs w:val="20"/>
        </w:rPr>
        <w:t xml:space="preserve">established </w:t>
      </w:r>
      <w:r w:rsidR="006A2D6A" w:rsidRPr="003D2AB7">
        <w:rPr>
          <w:rFonts w:cstheme="minorHAnsi"/>
          <w:sz w:val="20"/>
          <w:szCs w:val="20"/>
        </w:rPr>
        <w:t>processes</w:t>
      </w:r>
      <w:r w:rsidR="00BE4870" w:rsidRPr="003D2AB7">
        <w:rPr>
          <w:rFonts w:cstheme="minorHAnsi"/>
          <w:sz w:val="20"/>
          <w:szCs w:val="20"/>
        </w:rPr>
        <w:t xml:space="preserve">. </w:t>
      </w:r>
      <w:r w:rsidR="005773AC" w:rsidRPr="003D2AB7">
        <w:rPr>
          <w:rFonts w:cstheme="minorHAnsi"/>
          <w:sz w:val="20"/>
          <w:szCs w:val="20"/>
        </w:rPr>
        <w:t xml:space="preserve"> </w:t>
      </w:r>
    </w:p>
    <w:p w14:paraId="3237B525" w14:textId="77777777" w:rsidR="00871FD3" w:rsidRPr="003D2AB7" w:rsidRDefault="00871FD3"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 xml:space="preserve">Progress reporting </w:t>
      </w:r>
    </w:p>
    <w:p w14:paraId="1E2D2C5A" w14:textId="729EF5E5" w:rsidR="00155778" w:rsidRPr="003D2AB7" w:rsidRDefault="00871FD3" w:rsidP="00F74EDA">
      <w:pPr>
        <w:spacing w:before="120" w:after="120" w:line="240" w:lineRule="auto"/>
        <w:rPr>
          <w:rFonts w:cstheme="minorHAnsi"/>
        </w:rPr>
      </w:pPr>
      <w:r w:rsidRPr="003D2AB7">
        <w:rPr>
          <w:rFonts w:cstheme="minorHAnsi"/>
          <w:sz w:val="20"/>
          <w:szCs w:val="20"/>
        </w:rPr>
        <w:t xml:space="preserve">As per the </w:t>
      </w:r>
      <w:r w:rsidR="009A2D5F" w:rsidRPr="003D2AB7">
        <w:rPr>
          <w:rFonts w:cstheme="minorHAnsi"/>
          <w:sz w:val="20"/>
          <w:szCs w:val="20"/>
        </w:rPr>
        <w:t>funding deed</w:t>
      </w:r>
      <w:r w:rsidRPr="003D2AB7">
        <w:rPr>
          <w:rFonts w:cstheme="minorHAnsi"/>
          <w:sz w:val="20"/>
          <w:szCs w:val="20"/>
        </w:rPr>
        <w:t xml:space="preserve">, proponents are required to provide a </w:t>
      </w:r>
      <w:r w:rsidR="009C78C2" w:rsidRPr="003D2AB7">
        <w:rPr>
          <w:rFonts w:cstheme="minorHAnsi"/>
          <w:sz w:val="20"/>
          <w:szCs w:val="20"/>
        </w:rPr>
        <w:t>progress r</w:t>
      </w:r>
      <w:r w:rsidRPr="003D2AB7">
        <w:rPr>
          <w:rFonts w:cstheme="minorHAnsi"/>
          <w:sz w:val="20"/>
          <w:szCs w:val="20"/>
        </w:rPr>
        <w:t xml:space="preserve">eport to </w:t>
      </w:r>
      <w:r w:rsidR="009A2D5F" w:rsidRPr="003D2AB7">
        <w:rPr>
          <w:rFonts w:cstheme="minorHAnsi"/>
          <w:sz w:val="20"/>
          <w:szCs w:val="20"/>
        </w:rPr>
        <w:t>DPI</w:t>
      </w:r>
      <w:r w:rsidRPr="003D2AB7">
        <w:rPr>
          <w:rFonts w:cstheme="minorHAnsi"/>
          <w:sz w:val="20"/>
          <w:szCs w:val="20"/>
        </w:rPr>
        <w:t xml:space="preserve"> for each quarter that falls fully or partly within th</w:t>
      </w:r>
      <w:r w:rsidR="009A2D5F" w:rsidRPr="003D2AB7">
        <w:rPr>
          <w:rFonts w:cstheme="minorHAnsi"/>
          <w:sz w:val="20"/>
          <w:szCs w:val="20"/>
        </w:rPr>
        <w:t xml:space="preserve">e Terms of their Agreement. All </w:t>
      </w:r>
      <w:r w:rsidRPr="003D2AB7">
        <w:rPr>
          <w:rFonts w:cstheme="minorHAnsi"/>
          <w:sz w:val="20"/>
          <w:szCs w:val="20"/>
        </w:rPr>
        <w:t xml:space="preserve">projects reviewed within the sample had </w:t>
      </w:r>
      <w:r w:rsidR="006A2D6A" w:rsidRPr="003D2AB7">
        <w:rPr>
          <w:rFonts w:cstheme="minorHAnsi"/>
          <w:sz w:val="20"/>
          <w:szCs w:val="20"/>
        </w:rPr>
        <w:t xml:space="preserve">some </w:t>
      </w:r>
      <w:r w:rsidR="009A2D5F" w:rsidRPr="003D2AB7">
        <w:rPr>
          <w:rFonts w:cstheme="minorHAnsi"/>
          <w:sz w:val="20"/>
          <w:szCs w:val="20"/>
        </w:rPr>
        <w:t xml:space="preserve">formal </w:t>
      </w:r>
      <w:r w:rsidRPr="003D2AB7">
        <w:rPr>
          <w:rFonts w:cstheme="minorHAnsi"/>
          <w:sz w:val="20"/>
          <w:szCs w:val="20"/>
        </w:rPr>
        <w:t xml:space="preserve">progress reports </w:t>
      </w:r>
      <w:r w:rsidR="009A2D5F" w:rsidRPr="003D2AB7">
        <w:rPr>
          <w:rFonts w:cstheme="minorHAnsi"/>
          <w:sz w:val="20"/>
          <w:szCs w:val="20"/>
        </w:rPr>
        <w:t>on</w:t>
      </w:r>
      <w:r w:rsidRPr="003D2AB7">
        <w:rPr>
          <w:rFonts w:cstheme="minorHAnsi"/>
          <w:sz w:val="20"/>
          <w:szCs w:val="20"/>
        </w:rPr>
        <w:t xml:space="preserve"> file</w:t>
      </w:r>
      <w:r w:rsidR="003C7309" w:rsidRPr="003D2AB7">
        <w:rPr>
          <w:rFonts w:cstheme="minorHAnsi"/>
          <w:sz w:val="20"/>
          <w:szCs w:val="20"/>
        </w:rPr>
        <w:t>,</w:t>
      </w:r>
      <w:r w:rsidR="00343111" w:rsidRPr="003D2AB7">
        <w:rPr>
          <w:rFonts w:cstheme="minorHAnsi"/>
          <w:sz w:val="20"/>
          <w:szCs w:val="20"/>
        </w:rPr>
        <w:t xml:space="preserve"> as well as</w:t>
      </w:r>
      <w:r w:rsidR="009A2D5F" w:rsidRPr="003D2AB7">
        <w:rPr>
          <w:rFonts w:cstheme="minorHAnsi"/>
          <w:sz w:val="20"/>
          <w:szCs w:val="20"/>
        </w:rPr>
        <w:t xml:space="preserve"> evidence </w:t>
      </w:r>
      <w:r w:rsidRPr="003D2AB7">
        <w:rPr>
          <w:rFonts w:cstheme="minorHAnsi"/>
          <w:sz w:val="20"/>
          <w:szCs w:val="20"/>
        </w:rPr>
        <w:t xml:space="preserve">of ongoing communication and interaction </w:t>
      </w:r>
      <w:r w:rsidR="009A2D5F" w:rsidRPr="003D2AB7">
        <w:rPr>
          <w:rFonts w:cstheme="minorHAnsi"/>
          <w:sz w:val="20"/>
          <w:szCs w:val="20"/>
        </w:rPr>
        <w:t>with the proponent maintained</w:t>
      </w:r>
      <w:r w:rsidR="003C7309" w:rsidRPr="003D2AB7">
        <w:rPr>
          <w:rFonts w:cstheme="minorHAnsi"/>
          <w:sz w:val="20"/>
          <w:szCs w:val="20"/>
        </w:rPr>
        <w:t>,</w:t>
      </w:r>
      <w:r w:rsidR="009A2D5F" w:rsidRPr="003D2AB7">
        <w:rPr>
          <w:rFonts w:cstheme="minorHAnsi"/>
          <w:sz w:val="20"/>
          <w:szCs w:val="20"/>
        </w:rPr>
        <w:t xml:space="preserve"> including records of phone correspondence and face-to-face discussions</w:t>
      </w:r>
      <w:r w:rsidRPr="003D2AB7">
        <w:rPr>
          <w:rFonts w:cstheme="minorHAnsi"/>
          <w:sz w:val="20"/>
          <w:szCs w:val="20"/>
        </w:rPr>
        <w:t xml:space="preserve">. Through sample testing there appeared to be appropriate communication and mechanisms for </w:t>
      </w:r>
      <w:r w:rsidR="009A2D5F" w:rsidRPr="003D2AB7">
        <w:rPr>
          <w:rFonts w:cstheme="minorHAnsi"/>
          <w:sz w:val="20"/>
          <w:szCs w:val="20"/>
        </w:rPr>
        <w:t>DPI</w:t>
      </w:r>
      <w:r w:rsidRPr="003D2AB7">
        <w:rPr>
          <w:rFonts w:cstheme="minorHAnsi"/>
          <w:sz w:val="20"/>
          <w:szCs w:val="20"/>
        </w:rPr>
        <w:t xml:space="preserve"> to remain informed of and manage projects</w:t>
      </w:r>
      <w:r w:rsidR="00323904" w:rsidRPr="003D2AB7">
        <w:rPr>
          <w:rFonts w:cstheme="minorHAnsi"/>
          <w:sz w:val="20"/>
          <w:szCs w:val="20"/>
        </w:rPr>
        <w:t>,</w:t>
      </w:r>
      <w:r w:rsidRPr="003D2AB7">
        <w:rPr>
          <w:rFonts w:cstheme="minorHAnsi"/>
          <w:sz w:val="20"/>
          <w:szCs w:val="20"/>
        </w:rPr>
        <w:t xml:space="preserve"> as well as </w:t>
      </w:r>
      <w:r w:rsidR="002F7F17" w:rsidRPr="003D2AB7">
        <w:rPr>
          <w:rFonts w:cstheme="minorHAnsi"/>
          <w:sz w:val="20"/>
          <w:szCs w:val="20"/>
        </w:rPr>
        <w:t xml:space="preserve">to </w:t>
      </w:r>
      <w:r w:rsidRPr="003D2AB7">
        <w:rPr>
          <w:rFonts w:cstheme="minorHAnsi"/>
          <w:sz w:val="20"/>
          <w:szCs w:val="20"/>
        </w:rPr>
        <w:t>identify any emerging issues or risks with projects.</w:t>
      </w:r>
      <w:r w:rsidR="00474DAB" w:rsidRPr="003D2AB7">
        <w:rPr>
          <w:rFonts w:cstheme="minorHAnsi"/>
          <w:sz w:val="20"/>
          <w:szCs w:val="20"/>
        </w:rPr>
        <w:t xml:space="preserve"> </w:t>
      </w:r>
      <w:r w:rsidR="00B50DDE" w:rsidRPr="003D2AB7">
        <w:rPr>
          <w:rFonts w:cstheme="minorHAnsi"/>
          <w:sz w:val="20"/>
          <w:szCs w:val="20"/>
        </w:rPr>
        <w:t>KPMG made</w:t>
      </w:r>
      <w:r w:rsidR="00FC5F46" w:rsidRPr="003D2AB7">
        <w:rPr>
          <w:rFonts w:cstheme="minorHAnsi"/>
          <w:sz w:val="20"/>
          <w:szCs w:val="20"/>
        </w:rPr>
        <w:t xml:space="preserve"> a</w:t>
      </w:r>
      <w:r w:rsidR="00B50DDE" w:rsidRPr="003D2AB7">
        <w:rPr>
          <w:rFonts w:cstheme="minorHAnsi"/>
          <w:sz w:val="20"/>
          <w:szCs w:val="20"/>
        </w:rPr>
        <w:t xml:space="preserve"> minor observation in relation t</w:t>
      </w:r>
      <w:r w:rsidR="005133A3" w:rsidRPr="003D2AB7">
        <w:rPr>
          <w:rFonts w:cstheme="minorHAnsi"/>
          <w:sz w:val="20"/>
          <w:szCs w:val="20"/>
        </w:rPr>
        <w:t>o proponent progress reporting (</w:t>
      </w:r>
      <w:r w:rsidR="00B50DDE" w:rsidRPr="003D2AB7">
        <w:rPr>
          <w:rFonts w:cstheme="minorHAnsi"/>
          <w:sz w:val="20"/>
          <w:szCs w:val="20"/>
        </w:rPr>
        <w:t>r</w:t>
      </w:r>
      <w:r w:rsidR="00016BE6" w:rsidRPr="003D2AB7">
        <w:rPr>
          <w:rFonts w:cstheme="minorHAnsi"/>
          <w:sz w:val="20"/>
          <w:szCs w:val="20"/>
        </w:rPr>
        <w:t xml:space="preserve">efer to </w:t>
      </w:r>
      <w:r w:rsidR="00144C4F" w:rsidRPr="003D2AB7">
        <w:rPr>
          <w:rFonts w:cstheme="minorHAnsi"/>
          <w:sz w:val="20"/>
          <w:szCs w:val="20"/>
        </w:rPr>
        <w:t>Section 4</w:t>
      </w:r>
      <w:r w:rsidR="005133A3" w:rsidRPr="003D2AB7">
        <w:rPr>
          <w:rFonts w:cstheme="minorHAnsi"/>
          <w:sz w:val="20"/>
          <w:szCs w:val="20"/>
        </w:rPr>
        <w:t>.</w:t>
      </w:r>
      <w:r w:rsidR="00075888" w:rsidRPr="003D2AB7">
        <w:rPr>
          <w:rFonts w:cstheme="minorHAnsi"/>
          <w:sz w:val="20"/>
          <w:szCs w:val="20"/>
        </w:rPr>
        <w:t>3</w:t>
      </w:r>
      <w:r w:rsidR="005133A3" w:rsidRPr="003D2AB7">
        <w:rPr>
          <w:rFonts w:cstheme="minorHAnsi"/>
          <w:sz w:val="20"/>
          <w:szCs w:val="20"/>
        </w:rPr>
        <w:t xml:space="preserve"> for further detail).</w:t>
      </w:r>
    </w:p>
    <w:p w14:paraId="460B3F5A" w14:textId="77777777" w:rsidR="00871FD3" w:rsidRPr="003D2AB7" w:rsidRDefault="00871FD3"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Conflict of interest management</w:t>
      </w:r>
    </w:p>
    <w:p w14:paraId="388A448D" w14:textId="77777777" w:rsidR="00CC2FBF" w:rsidRPr="003D2AB7" w:rsidRDefault="002D7021" w:rsidP="00B547F6">
      <w:pPr>
        <w:spacing w:before="120" w:after="120" w:line="240" w:lineRule="auto"/>
        <w:rPr>
          <w:rFonts w:cstheme="minorHAnsi"/>
          <w:sz w:val="20"/>
          <w:szCs w:val="20"/>
        </w:rPr>
      </w:pPr>
      <w:r w:rsidRPr="003D2AB7">
        <w:rPr>
          <w:rFonts w:cstheme="minorHAnsi"/>
          <w:sz w:val="20"/>
          <w:szCs w:val="20"/>
        </w:rPr>
        <w:t>DPI have established a number of conflict of interest protocols</w:t>
      </w:r>
      <w:r w:rsidR="00B547F6" w:rsidRPr="003D2AB7">
        <w:rPr>
          <w:rFonts w:cstheme="minorHAnsi"/>
          <w:sz w:val="20"/>
          <w:szCs w:val="20"/>
        </w:rPr>
        <w:t xml:space="preserve"> to ensure integrity is maintained during the assessment and management of proponents. </w:t>
      </w:r>
      <w:r w:rsidR="00CC2FBF" w:rsidRPr="003D2AB7">
        <w:rPr>
          <w:rFonts w:cstheme="minorHAnsi"/>
          <w:sz w:val="20"/>
          <w:szCs w:val="20"/>
        </w:rPr>
        <w:t xml:space="preserve">In accordance with </w:t>
      </w:r>
      <w:r w:rsidR="00E3436C" w:rsidRPr="003D2AB7">
        <w:rPr>
          <w:rFonts w:cstheme="minorHAnsi"/>
          <w:sz w:val="20"/>
          <w:szCs w:val="20"/>
        </w:rPr>
        <w:t xml:space="preserve">the DPI </w:t>
      </w:r>
      <w:r w:rsidR="00CC2FBF" w:rsidRPr="003D2AB7">
        <w:rPr>
          <w:rFonts w:cstheme="minorHAnsi"/>
          <w:sz w:val="20"/>
          <w:szCs w:val="20"/>
        </w:rPr>
        <w:t>conflicts of interest procedure</w:t>
      </w:r>
      <w:r w:rsidR="00B82A23" w:rsidRPr="003D2AB7">
        <w:rPr>
          <w:rFonts w:cstheme="minorHAnsi"/>
          <w:sz w:val="20"/>
          <w:szCs w:val="20"/>
        </w:rPr>
        <w:t>s</w:t>
      </w:r>
      <w:r w:rsidR="00CC2FBF" w:rsidRPr="003D2AB7">
        <w:rPr>
          <w:rFonts w:cstheme="minorHAnsi"/>
          <w:sz w:val="20"/>
          <w:szCs w:val="20"/>
        </w:rPr>
        <w:t xml:space="preserve"> all</w:t>
      </w:r>
      <w:r w:rsidR="00B547F6" w:rsidRPr="003D2AB7">
        <w:rPr>
          <w:rFonts w:cstheme="minorHAnsi"/>
          <w:sz w:val="20"/>
          <w:szCs w:val="20"/>
        </w:rPr>
        <w:t xml:space="preserve"> staff are required to complete general conflict of interest declarations. Additionally, as part of their role in the assessment of applications</w:t>
      </w:r>
      <w:r w:rsidR="00257432" w:rsidRPr="003D2AB7">
        <w:rPr>
          <w:rFonts w:cstheme="minorHAnsi"/>
          <w:sz w:val="20"/>
          <w:szCs w:val="20"/>
        </w:rPr>
        <w:t>,</w:t>
      </w:r>
      <w:r w:rsidR="00B547F6" w:rsidRPr="003D2AB7">
        <w:rPr>
          <w:rFonts w:cstheme="minorHAnsi"/>
          <w:sz w:val="20"/>
          <w:szCs w:val="20"/>
        </w:rPr>
        <w:t xml:space="preserve"> the Opening Committee, Technical and Costing Committee and Investment Panel are required to complete confidentiality and conflict of interest declarations. </w:t>
      </w:r>
      <w:r w:rsidR="00CC2FBF" w:rsidRPr="003D2AB7">
        <w:rPr>
          <w:rFonts w:cstheme="minorHAnsi"/>
          <w:sz w:val="20"/>
          <w:szCs w:val="20"/>
        </w:rPr>
        <w:t xml:space="preserve">KPMG sighted relevant declarations for funding rounds selected for testing. </w:t>
      </w:r>
      <w:r w:rsidR="00E3436C" w:rsidRPr="003D2AB7">
        <w:rPr>
          <w:rFonts w:cstheme="minorHAnsi"/>
          <w:sz w:val="20"/>
          <w:szCs w:val="20"/>
        </w:rPr>
        <w:t>An internal review identified improvements to the IFM project management of declared conflicts of interest. Declared conflicts are now managed in accordance with defined process</w:t>
      </w:r>
      <w:r w:rsidR="00B82A23" w:rsidRPr="003D2AB7">
        <w:rPr>
          <w:rFonts w:cstheme="minorHAnsi"/>
          <w:sz w:val="20"/>
          <w:szCs w:val="20"/>
        </w:rPr>
        <w:t>es</w:t>
      </w:r>
      <w:r w:rsidR="00E3436C" w:rsidRPr="003D2AB7">
        <w:rPr>
          <w:rFonts w:cstheme="minorHAnsi"/>
          <w:sz w:val="20"/>
          <w:szCs w:val="20"/>
        </w:rPr>
        <w:t xml:space="preserve"> outlined in the DPI conflicts of interest procedure.</w:t>
      </w:r>
    </w:p>
    <w:p w14:paraId="2B749B6F" w14:textId="77777777" w:rsidR="002D7021" w:rsidRPr="003D2AB7" w:rsidRDefault="002D7021" w:rsidP="00F74EDA">
      <w:pPr>
        <w:spacing w:before="120" w:after="120" w:line="240" w:lineRule="auto"/>
        <w:rPr>
          <w:rFonts w:cstheme="minorHAnsi"/>
          <w:sz w:val="20"/>
          <w:szCs w:val="20"/>
        </w:rPr>
      </w:pPr>
      <w:r w:rsidRPr="003D2AB7">
        <w:rPr>
          <w:rFonts w:cstheme="minorHAnsi"/>
          <w:sz w:val="20"/>
          <w:szCs w:val="20"/>
        </w:rPr>
        <w:t>DPI have also engaged a</w:t>
      </w:r>
      <w:r w:rsidR="00B547F6" w:rsidRPr="003D2AB7">
        <w:rPr>
          <w:rFonts w:cstheme="minorHAnsi"/>
          <w:sz w:val="20"/>
          <w:szCs w:val="20"/>
        </w:rPr>
        <w:t>n external</w:t>
      </w:r>
      <w:r w:rsidRPr="003D2AB7">
        <w:rPr>
          <w:rFonts w:cstheme="minorHAnsi"/>
          <w:sz w:val="20"/>
          <w:szCs w:val="20"/>
        </w:rPr>
        <w:t xml:space="preserve"> </w:t>
      </w:r>
      <w:r w:rsidR="00871FD3" w:rsidRPr="003D2AB7">
        <w:rPr>
          <w:rFonts w:cstheme="minorHAnsi"/>
          <w:sz w:val="20"/>
          <w:szCs w:val="20"/>
        </w:rPr>
        <w:t xml:space="preserve">probity advisor to oversee </w:t>
      </w:r>
      <w:r w:rsidRPr="003D2AB7">
        <w:rPr>
          <w:rFonts w:cstheme="minorHAnsi"/>
          <w:sz w:val="20"/>
          <w:szCs w:val="20"/>
        </w:rPr>
        <w:t xml:space="preserve">assessment </w:t>
      </w:r>
      <w:r w:rsidR="00B547F6" w:rsidRPr="003D2AB7">
        <w:rPr>
          <w:rFonts w:cstheme="minorHAnsi"/>
          <w:sz w:val="20"/>
          <w:szCs w:val="20"/>
        </w:rPr>
        <w:t>of applications,</w:t>
      </w:r>
      <w:r w:rsidRPr="003D2AB7">
        <w:rPr>
          <w:rFonts w:cstheme="minorHAnsi"/>
          <w:sz w:val="20"/>
          <w:szCs w:val="20"/>
        </w:rPr>
        <w:t xml:space="preserve"> ensuring the integrity of the activities undertaken as part of the evaluation process.</w:t>
      </w:r>
      <w:r w:rsidR="00B547F6" w:rsidRPr="003D2AB7">
        <w:rPr>
          <w:rFonts w:cstheme="minorHAnsi"/>
          <w:sz w:val="20"/>
          <w:szCs w:val="20"/>
        </w:rPr>
        <w:t xml:space="preserve"> The probity advisor is also involved in appeals processes, as required.  </w:t>
      </w:r>
    </w:p>
    <w:p w14:paraId="337BAC5E" w14:textId="23895AE4" w:rsidR="008607CE" w:rsidRPr="003D2AB7" w:rsidRDefault="008607CE" w:rsidP="00F74EDA">
      <w:pPr>
        <w:spacing w:before="120" w:after="120" w:line="240" w:lineRule="auto"/>
        <w:rPr>
          <w:rFonts w:cstheme="minorHAnsi"/>
          <w:sz w:val="20"/>
          <w:szCs w:val="20"/>
        </w:rPr>
      </w:pPr>
      <w:r w:rsidRPr="003D2AB7">
        <w:rPr>
          <w:rFonts w:cstheme="minorHAnsi"/>
          <w:sz w:val="20"/>
          <w:szCs w:val="20"/>
        </w:rPr>
        <w:t>Sample testing identified one instance where a project officer was initial</w:t>
      </w:r>
      <w:r w:rsidR="00EE09BA" w:rsidRPr="003D2AB7">
        <w:rPr>
          <w:rFonts w:cstheme="minorHAnsi"/>
          <w:sz w:val="20"/>
          <w:szCs w:val="20"/>
        </w:rPr>
        <w:t>ly</w:t>
      </w:r>
      <w:r w:rsidRPr="003D2AB7">
        <w:rPr>
          <w:rFonts w:cstheme="minorHAnsi"/>
          <w:sz w:val="20"/>
          <w:szCs w:val="20"/>
        </w:rPr>
        <w:t xml:space="preserve"> engaged by a proponent as an irrigation consultant to assist with an IFWUEA application</w:t>
      </w:r>
      <w:r w:rsidR="00C63529" w:rsidRPr="003D2AB7">
        <w:rPr>
          <w:rFonts w:cstheme="minorHAnsi"/>
          <w:sz w:val="20"/>
          <w:szCs w:val="20"/>
        </w:rPr>
        <w:t xml:space="preserve"> (in 2013)</w:t>
      </w:r>
      <w:r w:rsidRPr="003D2AB7">
        <w:rPr>
          <w:rFonts w:cstheme="minorHAnsi"/>
          <w:sz w:val="20"/>
          <w:szCs w:val="20"/>
        </w:rPr>
        <w:t xml:space="preserve"> </w:t>
      </w:r>
      <w:r w:rsidR="003C1FC0" w:rsidRPr="003D2AB7">
        <w:rPr>
          <w:rFonts w:cstheme="minorHAnsi"/>
          <w:sz w:val="20"/>
          <w:szCs w:val="20"/>
        </w:rPr>
        <w:t>p</w:t>
      </w:r>
      <w:r w:rsidR="00DD5483" w:rsidRPr="003D2AB7">
        <w:rPr>
          <w:rFonts w:cstheme="minorHAnsi"/>
          <w:sz w:val="20"/>
          <w:szCs w:val="20"/>
        </w:rPr>
        <w:t>rior to the consultant becoming an employee of DPI</w:t>
      </w:r>
      <w:r w:rsidRPr="003D2AB7">
        <w:rPr>
          <w:rFonts w:cstheme="minorHAnsi"/>
          <w:sz w:val="20"/>
          <w:szCs w:val="20"/>
        </w:rPr>
        <w:t>. The officer was subsequently assigned to manage that proponent project. A conflict of interest declaration outlining this relationship and its management could not be sighted on file.</w:t>
      </w:r>
      <w:r w:rsidR="006C73AB" w:rsidRPr="003D2AB7">
        <w:rPr>
          <w:rFonts w:cstheme="minorHAnsi"/>
          <w:sz w:val="20"/>
          <w:szCs w:val="20"/>
        </w:rPr>
        <w:t xml:space="preserve"> The officer was not involved in the application assessment or approval process</w:t>
      </w:r>
      <w:r w:rsidR="00DA608C" w:rsidRPr="003D2AB7">
        <w:rPr>
          <w:rFonts w:cstheme="minorHAnsi"/>
          <w:sz w:val="20"/>
          <w:szCs w:val="20"/>
        </w:rPr>
        <w:t>, additionally all milestone payments were reviewed by the Leader, STBIFM prior to payment</w:t>
      </w:r>
      <w:r w:rsidR="006C73AB" w:rsidRPr="003D2AB7">
        <w:rPr>
          <w:rFonts w:cstheme="minorHAnsi"/>
          <w:sz w:val="20"/>
          <w:szCs w:val="20"/>
        </w:rPr>
        <w:t xml:space="preserve">. </w:t>
      </w:r>
      <w:r w:rsidRPr="003D2AB7">
        <w:rPr>
          <w:rFonts w:cstheme="minorHAnsi"/>
          <w:sz w:val="20"/>
          <w:szCs w:val="20"/>
        </w:rPr>
        <w:t xml:space="preserve">This instance </w:t>
      </w:r>
      <w:r w:rsidR="00DA608C" w:rsidRPr="003D2AB7">
        <w:rPr>
          <w:rFonts w:cstheme="minorHAnsi"/>
          <w:sz w:val="20"/>
          <w:szCs w:val="20"/>
        </w:rPr>
        <w:t>was communicated to management. N</w:t>
      </w:r>
      <w:r w:rsidRPr="003D2AB7">
        <w:rPr>
          <w:rFonts w:cstheme="minorHAnsi"/>
          <w:sz w:val="20"/>
          <w:szCs w:val="20"/>
        </w:rPr>
        <w:t xml:space="preserve">o further </w:t>
      </w:r>
      <w:r w:rsidR="00C63529" w:rsidRPr="003D2AB7">
        <w:rPr>
          <w:rFonts w:cstheme="minorHAnsi"/>
          <w:sz w:val="20"/>
          <w:szCs w:val="20"/>
        </w:rPr>
        <w:t>instances were identified in our sample</w:t>
      </w:r>
      <w:r w:rsidRPr="003D2AB7">
        <w:rPr>
          <w:rFonts w:cstheme="minorHAnsi"/>
          <w:sz w:val="20"/>
          <w:szCs w:val="20"/>
        </w:rPr>
        <w:t xml:space="preserve">.  </w:t>
      </w:r>
    </w:p>
    <w:p w14:paraId="2A907116" w14:textId="77777777" w:rsidR="00871FD3" w:rsidRPr="003D2AB7" w:rsidRDefault="00E5034B" w:rsidP="00C70202">
      <w:pPr>
        <w:pStyle w:val="Heading3"/>
        <w:spacing w:before="120"/>
        <w:rPr>
          <w:rFonts w:asciiTheme="minorHAnsi" w:hAnsiTheme="minorHAnsi" w:cstheme="minorHAnsi"/>
          <w:sz w:val="20"/>
          <w:szCs w:val="20"/>
        </w:rPr>
      </w:pPr>
      <w:r w:rsidRPr="003D2AB7">
        <w:rPr>
          <w:rFonts w:asciiTheme="minorHAnsi" w:hAnsiTheme="minorHAnsi" w:cstheme="minorHAnsi"/>
          <w:sz w:val="20"/>
          <w:szCs w:val="20"/>
        </w:rPr>
        <w:t>Compliance m</w:t>
      </w:r>
      <w:r w:rsidR="00871FD3" w:rsidRPr="003D2AB7">
        <w:rPr>
          <w:rFonts w:asciiTheme="minorHAnsi" w:hAnsiTheme="minorHAnsi" w:cstheme="minorHAnsi"/>
          <w:sz w:val="20"/>
          <w:szCs w:val="20"/>
        </w:rPr>
        <w:t>anagement</w:t>
      </w:r>
    </w:p>
    <w:p w14:paraId="024F11CB" w14:textId="77777777" w:rsidR="00871FD3" w:rsidRPr="003D2AB7" w:rsidRDefault="00871FD3" w:rsidP="002F7F17">
      <w:pPr>
        <w:pStyle w:val="Heading4"/>
        <w:spacing w:before="120" w:after="120" w:line="240" w:lineRule="auto"/>
        <w:rPr>
          <w:rFonts w:asciiTheme="minorHAnsi" w:hAnsiTheme="minorHAnsi" w:cstheme="minorHAnsi"/>
          <w:color w:val="auto"/>
          <w:sz w:val="20"/>
          <w:szCs w:val="20"/>
        </w:rPr>
      </w:pPr>
      <w:r w:rsidRPr="003D2AB7">
        <w:rPr>
          <w:rFonts w:asciiTheme="minorHAnsi" w:hAnsiTheme="minorHAnsi" w:cstheme="minorHAnsi"/>
          <w:color w:val="auto"/>
          <w:sz w:val="20"/>
          <w:szCs w:val="20"/>
        </w:rPr>
        <w:t xml:space="preserve">Compliance with </w:t>
      </w:r>
      <w:r w:rsidR="00BB52E9" w:rsidRPr="003D2AB7">
        <w:rPr>
          <w:rFonts w:asciiTheme="minorHAnsi" w:hAnsiTheme="minorHAnsi" w:cstheme="minorHAnsi"/>
          <w:color w:val="auto"/>
          <w:sz w:val="20"/>
          <w:szCs w:val="20"/>
        </w:rPr>
        <w:t>funding</w:t>
      </w:r>
      <w:r w:rsidR="00E3436C" w:rsidRPr="003D2AB7">
        <w:rPr>
          <w:rFonts w:asciiTheme="minorHAnsi" w:hAnsiTheme="minorHAnsi" w:cstheme="minorHAnsi"/>
          <w:color w:val="auto"/>
          <w:sz w:val="20"/>
          <w:szCs w:val="20"/>
        </w:rPr>
        <w:t xml:space="preserve"> </w:t>
      </w:r>
      <w:r w:rsidR="00BB52E9" w:rsidRPr="003D2AB7">
        <w:rPr>
          <w:rFonts w:asciiTheme="minorHAnsi" w:hAnsiTheme="minorHAnsi" w:cstheme="minorHAnsi"/>
          <w:color w:val="auto"/>
          <w:sz w:val="20"/>
          <w:szCs w:val="20"/>
        </w:rPr>
        <w:t>d</w:t>
      </w:r>
      <w:r w:rsidR="00E3436C" w:rsidRPr="003D2AB7">
        <w:rPr>
          <w:rFonts w:asciiTheme="minorHAnsi" w:hAnsiTheme="minorHAnsi" w:cstheme="minorHAnsi"/>
          <w:color w:val="auto"/>
          <w:sz w:val="20"/>
          <w:szCs w:val="20"/>
        </w:rPr>
        <w:t>eed</w:t>
      </w:r>
      <w:r w:rsidRPr="003D2AB7">
        <w:rPr>
          <w:rFonts w:asciiTheme="minorHAnsi" w:hAnsiTheme="minorHAnsi" w:cstheme="minorHAnsi"/>
          <w:color w:val="auto"/>
          <w:sz w:val="20"/>
          <w:szCs w:val="20"/>
        </w:rPr>
        <w:t xml:space="preserve"> </w:t>
      </w:r>
    </w:p>
    <w:p w14:paraId="2E6A4016" w14:textId="77777777" w:rsidR="00871FD3" w:rsidRPr="003D2AB7" w:rsidRDefault="00E3436C" w:rsidP="000722AF">
      <w:pPr>
        <w:pStyle w:val="ListParagraph"/>
        <w:spacing w:before="120" w:after="120" w:line="240" w:lineRule="auto"/>
        <w:ind w:left="0"/>
        <w:contextualSpacing w:val="0"/>
        <w:rPr>
          <w:rFonts w:cstheme="minorHAnsi"/>
          <w:sz w:val="20"/>
          <w:szCs w:val="20"/>
        </w:rPr>
      </w:pPr>
      <w:r w:rsidRPr="003D2AB7">
        <w:rPr>
          <w:rFonts w:cstheme="minorHAnsi"/>
          <w:sz w:val="20"/>
          <w:szCs w:val="20"/>
        </w:rPr>
        <w:t>DPI</w:t>
      </w:r>
      <w:r w:rsidR="00871FD3" w:rsidRPr="003D2AB7">
        <w:rPr>
          <w:rFonts w:cstheme="minorHAnsi"/>
          <w:sz w:val="20"/>
          <w:szCs w:val="20"/>
        </w:rPr>
        <w:t xml:space="preserve"> monitoring </w:t>
      </w:r>
      <w:r w:rsidRPr="003D2AB7">
        <w:rPr>
          <w:rFonts w:cstheme="minorHAnsi"/>
          <w:sz w:val="20"/>
          <w:szCs w:val="20"/>
        </w:rPr>
        <w:t>against</w:t>
      </w:r>
      <w:r w:rsidR="005E3108" w:rsidRPr="003D2AB7">
        <w:rPr>
          <w:rFonts w:cstheme="minorHAnsi"/>
          <w:sz w:val="20"/>
          <w:szCs w:val="20"/>
        </w:rPr>
        <w:t xml:space="preserve"> the agreed scope of works</w:t>
      </w:r>
      <w:r w:rsidRPr="003D2AB7">
        <w:rPr>
          <w:rFonts w:cstheme="minorHAnsi"/>
          <w:sz w:val="20"/>
          <w:szCs w:val="20"/>
        </w:rPr>
        <w:t xml:space="preserve"> </w:t>
      </w:r>
      <w:r w:rsidR="00871FD3" w:rsidRPr="003D2AB7">
        <w:rPr>
          <w:rFonts w:cstheme="minorHAnsi"/>
          <w:sz w:val="20"/>
          <w:szCs w:val="20"/>
        </w:rPr>
        <w:t xml:space="preserve">occurs via </w:t>
      </w:r>
      <w:r w:rsidRPr="003D2AB7">
        <w:rPr>
          <w:rFonts w:cstheme="minorHAnsi"/>
          <w:sz w:val="20"/>
          <w:szCs w:val="20"/>
        </w:rPr>
        <w:t xml:space="preserve">physical </w:t>
      </w:r>
      <w:r w:rsidR="00871FD3" w:rsidRPr="003D2AB7">
        <w:rPr>
          <w:rFonts w:cstheme="minorHAnsi"/>
          <w:sz w:val="20"/>
          <w:szCs w:val="20"/>
        </w:rPr>
        <w:t>inspection</w:t>
      </w:r>
      <w:r w:rsidR="005E3108" w:rsidRPr="003D2AB7">
        <w:rPr>
          <w:rFonts w:cstheme="minorHAnsi"/>
          <w:sz w:val="20"/>
          <w:szCs w:val="20"/>
        </w:rPr>
        <w:t xml:space="preserve"> and review of financial records (discussed in Section 3.4). Key physical inspections </w:t>
      </w:r>
      <w:r w:rsidRPr="003D2AB7">
        <w:rPr>
          <w:rFonts w:cstheme="minorHAnsi"/>
          <w:sz w:val="20"/>
          <w:szCs w:val="20"/>
        </w:rPr>
        <w:t>include:</w:t>
      </w:r>
    </w:p>
    <w:p w14:paraId="3D294D55" w14:textId="77777777" w:rsidR="00E3436C" w:rsidRPr="003D2AB7" w:rsidRDefault="00E3436C" w:rsidP="00DD23DA">
      <w:pPr>
        <w:pStyle w:val="ListParagraph"/>
        <w:numPr>
          <w:ilvl w:val="0"/>
          <w:numId w:val="20"/>
        </w:numPr>
        <w:rPr>
          <w:rFonts w:cstheme="minorHAnsi"/>
          <w:sz w:val="20"/>
          <w:szCs w:val="20"/>
        </w:rPr>
      </w:pPr>
      <w:r w:rsidRPr="003D2AB7">
        <w:rPr>
          <w:rFonts w:cstheme="minorHAnsi"/>
          <w:i/>
          <w:sz w:val="20"/>
          <w:szCs w:val="20"/>
        </w:rPr>
        <w:t>Project initiation meeting</w:t>
      </w:r>
      <w:r w:rsidR="00871FD3" w:rsidRPr="003D2AB7">
        <w:rPr>
          <w:rFonts w:cstheme="minorHAnsi"/>
          <w:sz w:val="20"/>
          <w:szCs w:val="20"/>
        </w:rPr>
        <w:t xml:space="preserve">: </w:t>
      </w:r>
      <w:r w:rsidRPr="003D2AB7">
        <w:rPr>
          <w:rFonts w:cstheme="minorHAnsi"/>
          <w:sz w:val="20"/>
          <w:szCs w:val="20"/>
        </w:rPr>
        <w:t xml:space="preserve">Project Officers arrange a site visit with </w:t>
      </w:r>
      <w:r w:rsidR="009A5A3E" w:rsidRPr="003D2AB7">
        <w:rPr>
          <w:rFonts w:cstheme="minorHAnsi"/>
          <w:sz w:val="20"/>
          <w:szCs w:val="20"/>
        </w:rPr>
        <w:t>proponent</w:t>
      </w:r>
      <w:r w:rsidRPr="003D2AB7">
        <w:rPr>
          <w:rFonts w:cstheme="minorHAnsi"/>
          <w:sz w:val="20"/>
          <w:szCs w:val="20"/>
        </w:rPr>
        <w:t xml:space="preserve"> prior to </w:t>
      </w:r>
      <w:r w:rsidR="009A5A3E" w:rsidRPr="003D2AB7">
        <w:rPr>
          <w:rFonts w:cstheme="minorHAnsi"/>
          <w:sz w:val="20"/>
          <w:szCs w:val="20"/>
        </w:rPr>
        <w:t>commencement</w:t>
      </w:r>
      <w:r w:rsidRPr="003D2AB7">
        <w:rPr>
          <w:rFonts w:cstheme="minorHAnsi"/>
          <w:sz w:val="20"/>
          <w:szCs w:val="20"/>
        </w:rPr>
        <w:t xml:space="preserve"> of works</w:t>
      </w:r>
      <w:r w:rsidR="009A5A3E" w:rsidRPr="003D2AB7">
        <w:rPr>
          <w:rFonts w:cstheme="minorHAnsi"/>
          <w:sz w:val="20"/>
          <w:szCs w:val="20"/>
        </w:rPr>
        <w:t xml:space="preserve"> </w:t>
      </w:r>
      <w:r w:rsidRPr="003D2AB7">
        <w:rPr>
          <w:rFonts w:cstheme="minorHAnsi"/>
          <w:sz w:val="20"/>
          <w:szCs w:val="20"/>
        </w:rPr>
        <w:t xml:space="preserve">to ensure they are fully aware of the content and their obligations under the Water Transfer and Funding Deeds. </w:t>
      </w:r>
      <w:r w:rsidR="009A5A3E" w:rsidRPr="003D2AB7">
        <w:rPr>
          <w:rFonts w:cstheme="minorHAnsi"/>
          <w:sz w:val="20"/>
          <w:szCs w:val="20"/>
        </w:rPr>
        <w:t>This also provides the opportunity to ensure no prior works have been completed and attributed to this project.</w:t>
      </w:r>
    </w:p>
    <w:p w14:paraId="74888F57" w14:textId="53E691F2" w:rsidR="00871FD3" w:rsidRPr="003D2AB7" w:rsidRDefault="00E3436C" w:rsidP="00DD23DA">
      <w:pPr>
        <w:pStyle w:val="ListParagraph"/>
        <w:numPr>
          <w:ilvl w:val="0"/>
          <w:numId w:val="7"/>
        </w:numPr>
        <w:spacing w:before="120" w:after="120"/>
        <w:contextualSpacing w:val="0"/>
        <w:rPr>
          <w:rFonts w:cstheme="minorHAnsi"/>
          <w:sz w:val="20"/>
          <w:szCs w:val="20"/>
        </w:rPr>
      </w:pPr>
      <w:r w:rsidRPr="003D2AB7">
        <w:rPr>
          <w:rFonts w:cstheme="minorHAnsi"/>
          <w:i/>
          <w:sz w:val="20"/>
          <w:szCs w:val="20"/>
        </w:rPr>
        <w:t>Milestones w</w:t>
      </w:r>
      <w:r w:rsidR="00871FD3" w:rsidRPr="003D2AB7">
        <w:rPr>
          <w:rFonts w:cstheme="minorHAnsi"/>
          <w:i/>
          <w:sz w:val="20"/>
          <w:szCs w:val="20"/>
        </w:rPr>
        <w:t>orks inspection</w:t>
      </w:r>
      <w:r w:rsidRPr="003D2AB7">
        <w:rPr>
          <w:rFonts w:cstheme="minorHAnsi"/>
          <w:i/>
          <w:sz w:val="20"/>
          <w:szCs w:val="20"/>
        </w:rPr>
        <w:t>s</w:t>
      </w:r>
      <w:r w:rsidR="00871FD3" w:rsidRPr="003D2AB7">
        <w:rPr>
          <w:rFonts w:cstheme="minorHAnsi"/>
          <w:sz w:val="20"/>
          <w:szCs w:val="20"/>
        </w:rPr>
        <w:t xml:space="preserve">: </w:t>
      </w:r>
      <w:r w:rsidRPr="003D2AB7">
        <w:rPr>
          <w:rFonts w:cstheme="minorHAnsi"/>
          <w:sz w:val="20"/>
          <w:szCs w:val="20"/>
        </w:rPr>
        <w:t xml:space="preserve">Project officers undertake physical inspections of works where intermediate and final milestone payment claims are made by proponents. These verify that works align with </w:t>
      </w:r>
      <w:r w:rsidR="00B82A23" w:rsidRPr="003D2AB7">
        <w:rPr>
          <w:rFonts w:cstheme="minorHAnsi"/>
          <w:sz w:val="20"/>
          <w:szCs w:val="20"/>
        </w:rPr>
        <w:t xml:space="preserve">the </w:t>
      </w:r>
      <w:r w:rsidRPr="003D2AB7">
        <w:rPr>
          <w:rFonts w:cstheme="minorHAnsi"/>
          <w:sz w:val="20"/>
          <w:szCs w:val="20"/>
        </w:rPr>
        <w:t xml:space="preserve">payment claim, reported progress and terms of the funding deed. </w:t>
      </w:r>
    </w:p>
    <w:p w14:paraId="35EFF82A" w14:textId="77777777" w:rsidR="007F21CD" w:rsidRPr="003D2AB7" w:rsidRDefault="005133A3" w:rsidP="00135623">
      <w:pPr>
        <w:spacing w:before="60" w:after="60"/>
        <w:rPr>
          <w:rFonts w:cstheme="minorHAnsi"/>
          <w:sz w:val="20"/>
          <w:szCs w:val="20"/>
        </w:rPr>
      </w:pPr>
      <w:r w:rsidRPr="003D2AB7">
        <w:rPr>
          <w:rFonts w:cstheme="minorHAnsi"/>
          <w:sz w:val="20"/>
          <w:szCs w:val="20"/>
        </w:rPr>
        <w:t>KPMG observed</w:t>
      </w:r>
      <w:r w:rsidR="007174A1" w:rsidRPr="003D2AB7">
        <w:rPr>
          <w:rFonts w:cstheme="minorHAnsi"/>
          <w:sz w:val="20"/>
          <w:szCs w:val="20"/>
        </w:rPr>
        <w:t xml:space="preserve"> that</w:t>
      </w:r>
      <w:r w:rsidR="00852E34" w:rsidRPr="003D2AB7">
        <w:rPr>
          <w:rFonts w:cstheme="minorHAnsi"/>
          <w:sz w:val="20"/>
          <w:szCs w:val="20"/>
        </w:rPr>
        <w:t xml:space="preserve"> </w:t>
      </w:r>
      <w:r w:rsidR="00E3436C" w:rsidRPr="003D2AB7">
        <w:rPr>
          <w:rFonts w:cstheme="minorHAnsi"/>
          <w:sz w:val="20"/>
          <w:szCs w:val="20"/>
        </w:rPr>
        <w:t>DPI</w:t>
      </w:r>
      <w:r w:rsidR="00852E34" w:rsidRPr="003D2AB7">
        <w:rPr>
          <w:rFonts w:cstheme="minorHAnsi"/>
          <w:sz w:val="20"/>
          <w:szCs w:val="20"/>
        </w:rPr>
        <w:t xml:space="preserve"> had consistently been undertaking compliance inspections. </w:t>
      </w:r>
      <w:r w:rsidR="00637B99" w:rsidRPr="003D2AB7">
        <w:rPr>
          <w:rFonts w:cstheme="minorHAnsi"/>
          <w:sz w:val="20"/>
          <w:szCs w:val="20"/>
        </w:rPr>
        <w:t xml:space="preserve">During sample testing it was </w:t>
      </w:r>
      <w:r w:rsidRPr="003D2AB7">
        <w:rPr>
          <w:rFonts w:cstheme="minorHAnsi"/>
          <w:sz w:val="20"/>
          <w:szCs w:val="20"/>
        </w:rPr>
        <w:t>also identified</w:t>
      </w:r>
      <w:r w:rsidR="00637B99" w:rsidRPr="003D2AB7">
        <w:rPr>
          <w:rFonts w:cstheme="minorHAnsi"/>
          <w:sz w:val="20"/>
          <w:szCs w:val="20"/>
        </w:rPr>
        <w:t xml:space="preserve"> that </w:t>
      </w:r>
      <w:r w:rsidR="000A0B13" w:rsidRPr="003D2AB7">
        <w:rPr>
          <w:rFonts w:cstheme="minorHAnsi"/>
          <w:sz w:val="20"/>
          <w:szCs w:val="20"/>
        </w:rPr>
        <w:t>the above-mentioned</w:t>
      </w:r>
      <w:r w:rsidR="00AD3789" w:rsidRPr="003D2AB7">
        <w:rPr>
          <w:rFonts w:cstheme="minorHAnsi"/>
          <w:sz w:val="20"/>
          <w:szCs w:val="20"/>
        </w:rPr>
        <w:t xml:space="preserve"> </w:t>
      </w:r>
      <w:r w:rsidR="00637B99" w:rsidRPr="003D2AB7">
        <w:rPr>
          <w:rFonts w:cstheme="minorHAnsi"/>
          <w:sz w:val="20"/>
          <w:szCs w:val="20"/>
        </w:rPr>
        <w:t>inspectio</w:t>
      </w:r>
      <w:r w:rsidR="00AD3789" w:rsidRPr="003D2AB7">
        <w:rPr>
          <w:rFonts w:cstheme="minorHAnsi"/>
          <w:sz w:val="20"/>
          <w:szCs w:val="20"/>
        </w:rPr>
        <w:t>n</w:t>
      </w:r>
      <w:r w:rsidR="000A0B13" w:rsidRPr="003D2AB7">
        <w:rPr>
          <w:rFonts w:cstheme="minorHAnsi"/>
          <w:sz w:val="20"/>
          <w:szCs w:val="20"/>
        </w:rPr>
        <w:t>s</w:t>
      </w:r>
      <w:r w:rsidR="00637B99" w:rsidRPr="003D2AB7">
        <w:rPr>
          <w:rFonts w:cstheme="minorHAnsi"/>
          <w:sz w:val="20"/>
          <w:szCs w:val="20"/>
        </w:rPr>
        <w:t xml:space="preserve"> had been undertaken for all projects</w:t>
      </w:r>
      <w:r w:rsidR="000A0B13" w:rsidRPr="003D2AB7">
        <w:rPr>
          <w:rFonts w:cstheme="minorHAnsi"/>
          <w:sz w:val="20"/>
          <w:szCs w:val="20"/>
        </w:rPr>
        <w:t xml:space="preserve"> </w:t>
      </w:r>
      <w:r w:rsidR="007174A1" w:rsidRPr="003D2AB7">
        <w:rPr>
          <w:rFonts w:cstheme="minorHAnsi"/>
          <w:sz w:val="20"/>
          <w:szCs w:val="20"/>
        </w:rPr>
        <w:t xml:space="preserve">reviewed </w:t>
      </w:r>
      <w:r w:rsidR="00637B99" w:rsidRPr="003D2AB7">
        <w:rPr>
          <w:rFonts w:cstheme="minorHAnsi"/>
          <w:sz w:val="20"/>
          <w:szCs w:val="20"/>
        </w:rPr>
        <w:t>(</w:t>
      </w:r>
      <w:r w:rsidR="00AD3789" w:rsidRPr="003D2AB7">
        <w:rPr>
          <w:rFonts w:cstheme="minorHAnsi"/>
          <w:sz w:val="20"/>
          <w:szCs w:val="20"/>
        </w:rPr>
        <w:t>as</w:t>
      </w:r>
      <w:r w:rsidR="00637B99" w:rsidRPr="003D2AB7">
        <w:rPr>
          <w:rFonts w:cstheme="minorHAnsi"/>
          <w:sz w:val="20"/>
          <w:szCs w:val="20"/>
        </w:rPr>
        <w:t xml:space="preserve"> required).</w:t>
      </w:r>
      <w:r w:rsidR="00E3436C" w:rsidRPr="003D2AB7">
        <w:rPr>
          <w:rFonts w:cstheme="minorHAnsi"/>
          <w:sz w:val="20"/>
          <w:szCs w:val="20"/>
        </w:rPr>
        <w:t xml:space="preserve"> </w:t>
      </w:r>
    </w:p>
    <w:p w14:paraId="52102AF7" w14:textId="72E80AEB" w:rsidR="00637B99" w:rsidRPr="003D2AB7" w:rsidRDefault="007F21CD" w:rsidP="00135623">
      <w:pPr>
        <w:spacing w:before="60" w:after="60"/>
        <w:rPr>
          <w:rFonts w:cstheme="minorHAnsi"/>
          <w:sz w:val="20"/>
          <w:szCs w:val="20"/>
        </w:rPr>
      </w:pPr>
      <w:r w:rsidRPr="003D2AB7">
        <w:rPr>
          <w:rFonts w:cstheme="minorHAnsi"/>
          <w:sz w:val="20"/>
          <w:szCs w:val="20"/>
        </w:rPr>
        <w:t>DPI’s</w:t>
      </w:r>
      <w:r w:rsidR="00E3436C" w:rsidRPr="003D2AB7">
        <w:rPr>
          <w:rFonts w:cstheme="minorHAnsi"/>
          <w:sz w:val="20"/>
          <w:szCs w:val="20"/>
        </w:rPr>
        <w:t xml:space="preserve"> processes for assessing and monitoring</w:t>
      </w:r>
      <w:r w:rsidR="00F45398" w:rsidRPr="003D2AB7">
        <w:rPr>
          <w:rFonts w:cstheme="minorHAnsi"/>
          <w:sz w:val="20"/>
          <w:szCs w:val="20"/>
        </w:rPr>
        <w:t xml:space="preserve"> a</w:t>
      </w:r>
      <w:r w:rsidR="00E3436C" w:rsidRPr="003D2AB7">
        <w:rPr>
          <w:rFonts w:cstheme="minorHAnsi"/>
          <w:sz w:val="20"/>
          <w:szCs w:val="20"/>
        </w:rPr>
        <w:t xml:space="preserve"> </w:t>
      </w:r>
      <w:r w:rsidR="00F45398" w:rsidRPr="003D2AB7">
        <w:rPr>
          <w:rFonts w:cstheme="minorHAnsi"/>
          <w:sz w:val="20"/>
          <w:szCs w:val="20"/>
        </w:rPr>
        <w:t>proponent’s</w:t>
      </w:r>
      <w:r w:rsidR="00E3436C" w:rsidRPr="003D2AB7">
        <w:rPr>
          <w:rFonts w:cstheme="minorHAnsi"/>
          <w:sz w:val="20"/>
          <w:szCs w:val="20"/>
        </w:rPr>
        <w:t xml:space="preserve"> compliance with </w:t>
      </w:r>
      <w:r w:rsidR="00F45398" w:rsidRPr="003D2AB7">
        <w:rPr>
          <w:rFonts w:cstheme="minorHAnsi"/>
          <w:sz w:val="20"/>
          <w:szCs w:val="20"/>
        </w:rPr>
        <w:t xml:space="preserve">their </w:t>
      </w:r>
      <w:r w:rsidR="00E3436C" w:rsidRPr="003D2AB7">
        <w:rPr>
          <w:rFonts w:cstheme="minorHAnsi"/>
          <w:sz w:val="20"/>
          <w:szCs w:val="20"/>
        </w:rPr>
        <w:t xml:space="preserve">works agreement obligations appeared appropriate based on the </w:t>
      </w:r>
      <w:r w:rsidR="009F452D" w:rsidRPr="003D2AB7">
        <w:rPr>
          <w:rFonts w:cstheme="minorHAnsi"/>
          <w:sz w:val="20"/>
          <w:szCs w:val="20"/>
        </w:rPr>
        <w:t xml:space="preserve">IFM project </w:t>
      </w:r>
      <w:r w:rsidR="00E3436C" w:rsidRPr="003D2AB7">
        <w:rPr>
          <w:rFonts w:cstheme="minorHAnsi"/>
          <w:sz w:val="20"/>
          <w:szCs w:val="20"/>
        </w:rPr>
        <w:t>characteristics and risks.</w:t>
      </w:r>
    </w:p>
    <w:p w14:paraId="514D190D" w14:textId="77777777" w:rsidR="00871FD3" w:rsidRPr="003D2AB7" w:rsidRDefault="00871FD3" w:rsidP="000722AF">
      <w:pPr>
        <w:pStyle w:val="Heading4"/>
        <w:spacing w:before="240" w:after="120" w:line="240" w:lineRule="auto"/>
        <w:rPr>
          <w:rFonts w:asciiTheme="minorHAnsi" w:hAnsiTheme="minorHAnsi" w:cstheme="minorHAnsi"/>
          <w:color w:val="auto"/>
          <w:sz w:val="20"/>
          <w:szCs w:val="20"/>
        </w:rPr>
      </w:pPr>
      <w:r w:rsidRPr="003D2AB7">
        <w:rPr>
          <w:rFonts w:asciiTheme="minorHAnsi" w:hAnsiTheme="minorHAnsi" w:cstheme="minorHAnsi"/>
          <w:color w:val="auto"/>
          <w:sz w:val="20"/>
          <w:szCs w:val="20"/>
        </w:rPr>
        <w:t>Compliance with relevant legislation</w:t>
      </w:r>
      <w:r w:rsidR="0093656A" w:rsidRPr="003D2AB7">
        <w:rPr>
          <w:rFonts w:asciiTheme="minorHAnsi" w:hAnsiTheme="minorHAnsi" w:cstheme="minorHAnsi"/>
          <w:color w:val="auto"/>
          <w:sz w:val="20"/>
          <w:szCs w:val="20"/>
        </w:rPr>
        <w:t xml:space="preserve"> and approvals</w:t>
      </w:r>
      <w:r w:rsidRPr="003D2AB7">
        <w:rPr>
          <w:rFonts w:asciiTheme="minorHAnsi" w:hAnsiTheme="minorHAnsi" w:cstheme="minorHAnsi"/>
          <w:color w:val="auto"/>
          <w:sz w:val="20"/>
          <w:szCs w:val="20"/>
        </w:rPr>
        <w:t xml:space="preserve"> </w:t>
      </w:r>
    </w:p>
    <w:p w14:paraId="15C6E0F7" w14:textId="77777777" w:rsidR="00630F35" w:rsidRPr="003D2AB7" w:rsidRDefault="009A5A3E" w:rsidP="000722AF">
      <w:pPr>
        <w:pStyle w:val="ListParagraph"/>
        <w:spacing w:before="120" w:after="120" w:line="240" w:lineRule="auto"/>
        <w:ind w:left="0"/>
        <w:contextualSpacing w:val="0"/>
        <w:rPr>
          <w:rFonts w:cstheme="minorHAnsi"/>
          <w:sz w:val="20"/>
          <w:szCs w:val="20"/>
        </w:rPr>
      </w:pPr>
      <w:r w:rsidRPr="003D2AB7">
        <w:rPr>
          <w:rFonts w:cstheme="minorHAnsi"/>
          <w:sz w:val="20"/>
          <w:szCs w:val="20"/>
        </w:rPr>
        <w:t>As per the proponent funding deed, the onus of</w:t>
      </w:r>
      <w:r w:rsidR="00410321" w:rsidRPr="003D2AB7">
        <w:rPr>
          <w:rFonts w:cstheme="minorHAnsi"/>
          <w:sz w:val="20"/>
          <w:szCs w:val="20"/>
        </w:rPr>
        <w:t xml:space="preserve"> </w:t>
      </w:r>
      <w:r w:rsidR="00871FD3" w:rsidRPr="003D2AB7">
        <w:rPr>
          <w:rFonts w:cstheme="minorHAnsi"/>
          <w:sz w:val="20"/>
          <w:szCs w:val="20"/>
        </w:rPr>
        <w:t>compliance with relevant legislation</w:t>
      </w:r>
      <w:r w:rsidR="0093656A" w:rsidRPr="003D2AB7">
        <w:rPr>
          <w:rFonts w:cstheme="minorHAnsi"/>
          <w:sz w:val="20"/>
          <w:szCs w:val="20"/>
        </w:rPr>
        <w:t xml:space="preserve"> and approvals</w:t>
      </w:r>
      <w:r w:rsidR="00871FD3" w:rsidRPr="003D2AB7">
        <w:rPr>
          <w:rFonts w:cstheme="minorHAnsi"/>
          <w:sz w:val="20"/>
          <w:szCs w:val="20"/>
        </w:rPr>
        <w:t xml:space="preserve"> </w:t>
      </w:r>
      <w:r w:rsidRPr="003D2AB7">
        <w:rPr>
          <w:rFonts w:cstheme="minorHAnsi"/>
          <w:sz w:val="20"/>
          <w:szCs w:val="20"/>
        </w:rPr>
        <w:t xml:space="preserve">lies with </w:t>
      </w:r>
      <w:r w:rsidR="0093656A" w:rsidRPr="003D2AB7">
        <w:rPr>
          <w:rFonts w:cstheme="minorHAnsi"/>
          <w:sz w:val="20"/>
          <w:szCs w:val="20"/>
        </w:rPr>
        <w:t>the proponent</w:t>
      </w:r>
      <w:r w:rsidRPr="003D2AB7">
        <w:rPr>
          <w:rFonts w:cstheme="minorHAnsi"/>
          <w:sz w:val="20"/>
          <w:szCs w:val="20"/>
        </w:rPr>
        <w:t xml:space="preserve">, this includes compliance with </w:t>
      </w:r>
      <w:r w:rsidR="00630F35" w:rsidRPr="003D2AB7">
        <w:rPr>
          <w:rFonts w:cstheme="minorHAnsi"/>
          <w:sz w:val="20"/>
          <w:szCs w:val="20"/>
        </w:rPr>
        <w:t>relevant</w:t>
      </w:r>
      <w:r w:rsidRPr="003D2AB7">
        <w:rPr>
          <w:rFonts w:cstheme="minorHAnsi"/>
          <w:sz w:val="20"/>
          <w:szCs w:val="20"/>
        </w:rPr>
        <w:t xml:space="preserve"> laws, and obtaining all relevant planning and regulatory approvals</w:t>
      </w:r>
      <w:r w:rsidR="005E3108" w:rsidRPr="003D2AB7">
        <w:rPr>
          <w:rFonts w:cstheme="minorHAnsi"/>
          <w:sz w:val="20"/>
          <w:szCs w:val="20"/>
        </w:rPr>
        <w:t xml:space="preserve">. </w:t>
      </w:r>
    </w:p>
    <w:p w14:paraId="09B12406" w14:textId="77777777" w:rsidR="005E3108" w:rsidRPr="003D2AB7" w:rsidRDefault="00630F35" w:rsidP="000722AF">
      <w:pPr>
        <w:pStyle w:val="ListParagraph"/>
        <w:spacing w:before="120" w:after="120" w:line="240" w:lineRule="auto"/>
        <w:ind w:left="0"/>
        <w:contextualSpacing w:val="0"/>
        <w:rPr>
          <w:rFonts w:cstheme="minorHAnsi"/>
          <w:sz w:val="20"/>
          <w:szCs w:val="20"/>
        </w:rPr>
      </w:pPr>
      <w:r w:rsidRPr="003D2AB7">
        <w:rPr>
          <w:rFonts w:cstheme="minorHAnsi"/>
          <w:sz w:val="20"/>
          <w:szCs w:val="20"/>
        </w:rPr>
        <w:t xml:space="preserve">To assist proponents, </w:t>
      </w:r>
      <w:r w:rsidR="005E3108" w:rsidRPr="003D2AB7">
        <w:rPr>
          <w:rFonts w:cstheme="minorHAnsi"/>
          <w:sz w:val="20"/>
          <w:szCs w:val="20"/>
        </w:rPr>
        <w:t xml:space="preserve">DPI conduct a project initiation meeting to ensure proponents understand their obligations when entering into the funding deed. During this meeting a checklist is completed to ensure all key obligations are discussed. This is reviewed and signed by the proponent. </w:t>
      </w:r>
    </w:p>
    <w:p w14:paraId="6BBFA7CF" w14:textId="27B6DF7B" w:rsidR="00630F35" w:rsidRPr="003D2AB7" w:rsidRDefault="005E3108" w:rsidP="000722AF">
      <w:pPr>
        <w:pStyle w:val="ListParagraph"/>
        <w:spacing w:before="120" w:after="120" w:line="240" w:lineRule="auto"/>
        <w:ind w:left="0"/>
        <w:contextualSpacing w:val="0"/>
        <w:rPr>
          <w:rFonts w:cstheme="minorHAnsi"/>
          <w:sz w:val="20"/>
          <w:szCs w:val="20"/>
        </w:rPr>
      </w:pPr>
      <w:r w:rsidRPr="003D2AB7">
        <w:rPr>
          <w:rFonts w:cstheme="minorHAnsi"/>
          <w:sz w:val="20"/>
          <w:szCs w:val="20"/>
        </w:rPr>
        <w:t xml:space="preserve">The project initiation meeting is also used as an opportunity to commence the identification of the necessary </w:t>
      </w:r>
      <w:r w:rsidR="00630F35" w:rsidRPr="003D2AB7">
        <w:rPr>
          <w:rFonts w:cstheme="minorHAnsi"/>
          <w:sz w:val="20"/>
          <w:szCs w:val="20"/>
        </w:rPr>
        <w:t xml:space="preserve">planning and regulatory </w:t>
      </w:r>
      <w:r w:rsidRPr="003D2AB7">
        <w:rPr>
          <w:rFonts w:cstheme="minorHAnsi"/>
          <w:sz w:val="20"/>
          <w:szCs w:val="20"/>
        </w:rPr>
        <w:t xml:space="preserve">approvals that may be required for the works. The project officer will direct the proponent to the appropriate NSW </w:t>
      </w:r>
      <w:r w:rsidR="00C102E6" w:rsidRPr="003D2AB7">
        <w:rPr>
          <w:rFonts w:cstheme="minorHAnsi"/>
          <w:sz w:val="20"/>
          <w:szCs w:val="20"/>
        </w:rPr>
        <w:t>G</w:t>
      </w:r>
      <w:r w:rsidRPr="003D2AB7">
        <w:rPr>
          <w:rFonts w:cstheme="minorHAnsi"/>
          <w:sz w:val="20"/>
          <w:szCs w:val="20"/>
        </w:rPr>
        <w:t xml:space="preserve">overnment area to confirm </w:t>
      </w:r>
      <w:r w:rsidR="00630F35" w:rsidRPr="003D2AB7">
        <w:rPr>
          <w:rFonts w:cstheme="minorHAnsi"/>
          <w:sz w:val="20"/>
          <w:szCs w:val="20"/>
        </w:rPr>
        <w:t xml:space="preserve">the </w:t>
      </w:r>
      <w:r w:rsidRPr="003D2AB7">
        <w:rPr>
          <w:rFonts w:cstheme="minorHAnsi"/>
          <w:sz w:val="20"/>
          <w:szCs w:val="20"/>
        </w:rPr>
        <w:t>need for approval</w:t>
      </w:r>
      <w:r w:rsidR="00630F35" w:rsidRPr="003D2AB7">
        <w:rPr>
          <w:rFonts w:cstheme="minorHAnsi"/>
          <w:sz w:val="20"/>
          <w:szCs w:val="20"/>
        </w:rPr>
        <w:t>s</w:t>
      </w:r>
      <w:r w:rsidRPr="003D2AB7">
        <w:rPr>
          <w:rFonts w:cstheme="minorHAnsi"/>
          <w:sz w:val="20"/>
          <w:szCs w:val="20"/>
        </w:rPr>
        <w:t>.</w:t>
      </w:r>
      <w:r w:rsidR="00630F35" w:rsidRPr="003D2AB7">
        <w:rPr>
          <w:rFonts w:cstheme="minorHAnsi"/>
          <w:sz w:val="20"/>
          <w:szCs w:val="20"/>
        </w:rPr>
        <w:t xml:space="preserve"> </w:t>
      </w:r>
      <w:r w:rsidR="00C102E6" w:rsidRPr="003D2AB7">
        <w:rPr>
          <w:rFonts w:cstheme="minorHAnsi"/>
          <w:sz w:val="20"/>
          <w:szCs w:val="20"/>
        </w:rPr>
        <w:t>Additionally</w:t>
      </w:r>
      <w:r w:rsidR="00630F35" w:rsidRPr="003D2AB7">
        <w:rPr>
          <w:rFonts w:cstheme="minorHAnsi"/>
          <w:sz w:val="20"/>
          <w:szCs w:val="20"/>
        </w:rPr>
        <w:t xml:space="preserve">, at the application stage the </w:t>
      </w:r>
      <w:r w:rsidR="00C102E6" w:rsidRPr="003D2AB7">
        <w:rPr>
          <w:rFonts w:cstheme="minorHAnsi"/>
          <w:sz w:val="20"/>
          <w:szCs w:val="20"/>
        </w:rPr>
        <w:t xml:space="preserve">IFM team will consult with relevant areas of NSW Government </w:t>
      </w:r>
      <w:r w:rsidR="007C07C3" w:rsidRPr="003D2AB7">
        <w:rPr>
          <w:rFonts w:cstheme="minorHAnsi"/>
          <w:sz w:val="20"/>
          <w:szCs w:val="20"/>
        </w:rPr>
        <w:t xml:space="preserve">for </w:t>
      </w:r>
      <w:r w:rsidR="00C102E6" w:rsidRPr="003D2AB7">
        <w:rPr>
          <w:rFonts w:cstheme="minorHAnsi"/>
          <w:sz w:val="20"/>
          <w:szCs w:val="20"/>
        </w:rPr>
        <w:t xml:space="preserve">any potential regulatory risks </w:t>
      </w:r>
      <w:r w:rsidR="00DD5483" w:rsidRPr="003D2AB7">
        <w:rPr>
          <w:rFonts w:cstheme="minorHAnsi"/>
          <w:sz w:val="20"/>
          <w:szCs w:val="20"/>
        </w:rPr>
        <w:t xml:space="preserve">related to water </w:t>
      </w:r>
      <w:r w:rsidR="00C102E6" w:rsidRPr="003D2AB7">
        <w:rPr>
          <w:rFonts w:cstheme="minorHAnsi"/>
          <w:sz w:val="20"/>
          <w:szCs w:val="20"/>
        </w:rPr>
        <w:t xml:space="preserve">approvals. </w:t>
      </w:r>
    </w:p>
    <w:p w14:paraId="3295A1CB" w14:textId="4AF7BF59" w:rsidR="004F585C" w:rsidRPr="003D2AB7" w:rsidRDefault="005E3108" w:rsidP="000722AF">
      <w:pPr>
        <w:pStyle w:val="ListParagraph"/>
        <w:spacing w:before="120" w:after="120" w:line="240" w:lineRule="auto"/>
        <w:ind w:left="0"/>
        <w:contextualSpacing w:val="0"/>
        <w:rPr>
          <w:rFonts w:cstheme="minorHAnsi"/>
          <w:sz w:val="20"/>
          <w:szCs w:val="20"/>
        </w:rPr>
      </w:pPr>
      <w:r w:rsidRPr="003D2AB7">
        <w:rPr>
          <w:rFonts w:cstheme="minorHAnsi"/>
          <w:sz w:val="20"/>
          <w:szCs w:val="20"/>
        </w:rPr>
        <w:t>Any identified approvals that apply to a proponent will be included in an approval</w:t>
      </w:r>
      <w:r w:rsidR="00C102E6" w:rsidRPr="003D2AB7">
        <w:rPr>
          <w:rFonts w:cstheme="minorHAnsi"/>
          <w:sz w:val="20"/>
          <w:szCs w:val="20"/>
        </w:rPr>
        <w:t>s</w:t>
      </w:r>
      <w:r w:rsidRPr="003D2AB7">
        <w:rPr>
          <w:rFonts w:cstheme="minorHAnsi"/>
          <w:sz w:val="20"/>
          <w:szCs w:val="20"/>
        </w:rPr>
        <w:t xml:space="preserve"> report</w:t>
      </w:r>
      <w:r w:rsidR="00C102E6" w:rsidRPr="003D2AB7">
        <w:rPr>
          <w:rFonts w:cstheme="minorHAnsi"/>
          <w:sz w:val="20"/>
          <w:szCs w:val="20"/>
        </w:rPr>
        <w:t xml:space="preserve"> that the proponent will maintain and complete</w:t>
      </w:r>
      <w:r w:rsidRPr="003D2AB7">
        <w:rPr>
          <w:rFonts w:cstheme="minorHAnsi"/>
          <w:sz w:val="20"/>
          <w:szCs w:val="20"/>
        </w:rPr>
        <w:t xml:space="preserve">. </w:t>
      </w:r>
      <w:r w:rsidR="00C102E6" w:rsidRPr="003D2AB7">
        <w:rPr>
          <w:rFonts w:cstheme="minorHAnsi"/>
          <w:sz w:val="20"/>
          <w:szCs w:val="20"/>
        </w:rPr>
        <w:t xml:space="preserve">The approvals report is intended to assist proponents obtaining relevant regulatory approvals in a timely manner. It also allows DPI to monitor compliance and follow up on any delays. </w:t>
      </w:r>
      <w:r w:rsidRPr="003D2AB7">
        <w:rPr>
          <w:rFonts w:cstheme="minorHAnsi"/>
          <w:sz w:val="20"/>
          <w:szCs w:val="20"/>
        </w:rPr>
        <w:t>The report identifies whether the relevant approval has been received, any action taken to obtain approvals</w:t>
      </w:r>
      <w:r w:rsidR="003C1FC0" w:rsidRPr="003D2AB7">
        <w:rPr>
          <w:rFonts w:cstheme="minorHAnsi"/>
          <w:sz w:val="20"/>
          <w:szCs w:val="20"/>
        </w:rPr>
        <w:t>,</w:t>
      </w:r>
      <w:r w:rsidRPr="003D2AB7">
        <w:rPr>
          <w:rFonts w:cstheme="minorHAnsi"/>
          <w:sz w:val="20"/>
          <w:szCs w:val="20"/>
        </w:rPr>
        <w:t xml:space="preserve"> and details of relevant government contact for approvals. The status of obtaining relevant approvals will be updated as the project progresses. An </w:t>
      </w:r>
      <w:r w:rsidR="003C1FC0" w:rsidRPr="003D2AB7">
        <w:rPr>
          <w:rFonts w:cstheme="minorHAnsi"/>
          <w:sz w:val="20"/>
          <w:szCs w:val="20"/>
        </w:rPr>
        <w:t>u</w:t>
      </w:r>
      <w:r w:rsidR="00F45398" w:rsidRPr="003D2AB7">
        <w:rPr>
          <w:rFonts w:cstheme="minorHAnsi"/>
          <w:sz w:val="20"/>
          <w:szCs w:val="20"/>
        </w:rPr>
        <w:t>p</w:t>
      </w:r>
      <w:r w:rsidRPr="003D2AB7">
        <w:rPr>
          <w:rFonts w:cstheme="minorHAnsi"/>
          <w:sz w:val="20"/>
          <w:szCs w:val="20"/>
        </w:rPr>
        <w:t xml:space="preserve">dated </w:t>
      </w:r>
      <w:r w:rsidR="00084615" w:rsidRPr="003D2AB7">
        <w:rPr>
          <w:rFonts w:cstheme="minorHAnsi"/>
          <w:sz w:val="20"/>
          <w:szCs w:val="20"/>
        </w:rPr>
        <w:t xml:space="preserve">approvals report is provided at intermediate </w:t>
      </w:r>
      <w:r w:rsidR="00C102E6" w:rsidRPr="003D2AB7">
        <w:rPr>
          <w:rFonts w:cstheme="minorHAnsi"/>
          <w:sz w:val="20"/>
          <w:szCs w:val="20"/>
        </w:rPr>
        <w:t xml:space="preserve">milestones with a final signed report provided with the final milestone claim. </w:t>
      </w:r>
      <w:r w:rsidR="004F585C" w:rsidRPr="003D2AB7">
        <w:rPr>
          <w:rFonts w:cstheme="minorHAnsi"/>
          <w:sz w:val="20"/>
          <w:szCs w:val="20"/>
        </w:rPr>
        <w:t xml:space="preserve">KPMG noted </w:t>
      </w:r>
      <w:r w:rsidR="00895370" w:rsidRPr="003D2AB7">
        <w:rPr>
          <w:rFonts w:cstheme="minorHAnsi"/>
          <w:sz w:val="20"/>
          <w:szCs w:val="20"/>
        </w:rPr>
        <w:t>that, where required,</w:t>
      </w:r>
      <w:r w:rsidR="004F585C" w:rsidRPr="003D2AB7">
        <w:rPr>
          <w:rFonts w:cstheme="minorHAnsi"/>
          <w:sz w:val="20"/>
          <w:szCs w:val="20"/>
        </w:rPr>
        <w:t xml:space="preserve"> approvals report</w:t>
      </w:r>
      <w:r w:rsidR="00895370" w:rsidRPr="003D2AB7">
        <w:rPr>
          <w:rFonts w:cstheme="minorHAnsi"/>
          <w:sz w:val="20"/>
          <w:szCs w:val="20"/>
        </w:rPr>
        <w:t>s</w:t>
      </w:r>
      <w:r w:rsidR="004F585C" w:rsidRPr="003D2AB7">
        <w:rPr>
          <w:rFonts w:cstheme="minorHAnsi"/>
          <w:sz w:val="20"/>
          <w:szCs w:val="20"/>
        </w:rPr>
        <w:t xml:space="preserve"> </w:t>
      </w:r>
      <w:r w:rsidR="00895370" w:rsidRPr="003D2AB7">
        <w:rPr>
          <w:rFonts w:cstheme="minorHAnsi"/>
          <w:sz w:val="20"/>
          <w:szCs w:val="20"/>
        </w:rPr>
        <w:t xml:space="preserve">were </w:t>
      </w:r>
      <w:r w:rsidR="004F585C" w:rsidRPr="003D2AB7">
        <w:rPr>
          <w:rFonts w:cstheme="minorHAnsi"/>
          <w:sz w:val="20"/>
          <w:szCs w:val="20"/>
        </w:rPr>
        <w:t xml:space="preserve">on file for projects sampled. </w:t>
      </w:r>
    </w:p>
    <w:p w14:paraId="316CAA4F" w14:textId="77777777" w:rsidR="003650DE" w:rsidRPr="003D2AB7" w:rsidRDefault="003650DE" w:rsidP="00C60159">
      <w:pPr>
        <w:pStyle w:val="Heading4"/>
        <w:spacing w:before="240" w:after="120" w:line="240" w:lineRule="auto"/>
        <w:rPr>
          <w:rFonts w:asciiTheme="minorHAnsi" w:hAnsiTheme="minorHAnsi" w:cstheme="minorHAnsi"/>
          <w:color w:val="auto"/>
          <w:sz w:val="20"/>
          <w:szCs w:val="20"/>
        </w:rPr>
      </w:pPr>
      <w:r w:rsidRPr="003D2AB7">
        <w:rPr>
          <w:rFonts w:asciiTheme="minorHAnsi" w:hAnsiTheme="minorHAnsi" w:cstheme="minorHAnsi"/>
          <w:color w:val="auto"/>
          <w:sz w:val="20"/>
          <w:szCs w:val="20"/>
        </w:rPr>
        <w:t>Insurance certificates of currency</w:t>
      </w:r>
    </w:p>
    <w:p w14:paraId="30CE7011" w14:textId="77777777" w:rsidR="003650DE" w:rsidRPr="003D2AB7" w:rsidRDefault="003650DE" w:rsidP="00DD23DA">
      <w:pPr>
        <w:pStyle w:val="ListParagraph"/>
        <w:spacing w:before="120" w:after="120" w:line="240" w:lineRule="auto"/>
        <w:ind w:left="0"/>
        <w:contextualSpacing w:val="0"/>
        <w:rPr>
          <w:rFonts w:cstheme="minorHAnsi"/>
          <w:sz w:val="20"/>
          <w:szCs w:val="20"/>
        </w:rPr>
      </w:pPr>
      <w:r w:rsidRPr="003D2AB7">
        <w:rPr>
          <w:rFonts w:cstheme="minorHAnsi"/>
          <w:sz w:val="20"/>
          <w:szCs w:val="20"/>
        </w:rPr>
        <w:t xml:space="preserve">As per the </w:t>
      </w:r>
      <w:r w:rsidR="008510CD" w:rsidRPr="003D2AB7">
        <w:rPr>
          <w:rFonts w:cstheme="minorHAnsi"/>
          <w:sz w:val="20"/>
          <w:szCs w:val="20"/>
        </w:rPr>
        <w:t>funding deed entered by DPI,</w:t>
      </w:r>
      <w:r w:rsidRPr="003D2AB7">
        <w:rPr>
          <w:rFonts w:cstheme="minorHAnsi"/>
          <w:sz w:val="20"/>
          <w:szCs w:val="20"/>
        </w:rPr>
        <w:t xml:space="preserve"> proponents must effect and maintain a number of insurances for the term of their agreement, specifically these are:</w:t>
      </w:r>
    </w:p>
    <w:p w14:paraId="7AAE0E12" w14:textId="77777777" w:rsidR="003650DE" w:rsidRPr="003D2AB7" w:rsidRDefault="003650DE" w:rsidP="00DD23DA">
      <w:pPr>
        <w:pStyle w:val="ListParagraph"/>
        <w:numPr>
          <w:ilvl w:val="0"/>
          <w:numId w:val="13"/>
        </w:numPr>
        <w:spacing w:after="0" w:line="240" w:lineRule="auto"/>
        <w:ind w:left="714" w:hanging="357"/>
        <w:contextualSpacing w:val="0"/>
        <w:rPr>
          <w:rFonts w:cstheme="minorHAnsi"/>
          <w:sz w:val="20"/>
          <w:szCs w:val="20"/>
        </w:rPr>
      </w:pPr>
      <w:r w:rsidRPr="003D2AB7">
        <w:rPr>
          <w:rFonts w:cstheme="minorHAnsi"/>
          <w:sz w:val="20"/>
          <w:szCs w:val="20"/>
        </w:rPr>
        <w:t>Public Liability insurance for $20,000,000;</w:t>
      </w:r>
    </w:p>
    <w:p w14:paraId="025EB6D6" w14:textId="393A9AFA" w:rsidR="008510CD" w:rsidRPr="003D2AB7" w:rsidRDefault="003650DE" w:rsidP="00DD23DA">
      <w:pPr>
        <w:pStyle w:val="ListParagraph"/>
        <w:numPr>
          <w:ilvl w:val="0"/>
          <w:numId w:val="13"/>
        </w:numPr>
        <w:spacing w:after="0" w:line="240" w:lineRule="auto"/>
        <w:ind w:left="714" w:hanging="357"/>
        <w:contextualSpacing w:val="0"/>
        <w:rPr>
          <w:rFonts w:cstheme="minorHAnsi"/>
          <w:sz w:val="20"/>
          <w:szCs w:val="20"/>
        </w:rPr>
      </w:pPr>
      <w:r w:rsidRPr="003D2AB7">
        <w:rPr>
          <w:rFonts w:cstheme="minorHAnsi"/>
          <w:sz w:val="20"/>
          <w:szCs w:val="20"/>
        </w:rPr>
        <w:t>Workers compensation insurance</w:t>
      </w:r>
      <w:r w:rsidR="00257432" w:rsidRPr="003D2AB7">
        <w:rPr>
          <w:rFonts w:cstheme="minorHAnsi"/>
          <w:sz w:val="20"/>
          <w:szCs w:val="20"/>
        </w:rPr>
        <w:t xml:space="preserve"> as require</w:t>
      </w:r>
      <w:r w:rsidR="00413B40" w:rsidRPr="003D2AB7">
        <w:rPr>
          <w:rFonts w:cstheme="minorHAnsi"/>
          <w:sz w:val="20"/>
          <w:szCs w:val="20"/>
        </w:rPr>
        <w:t>d</w:t>
      </w:r>
      <w:r w:rsidR="00257432" w:rsidRPr="003D2AB7">
        <w:rPr>
          <w:rFonts w:cstheme="minorHAnsi"/>
          <w:sz w:val="20"/>
          <w:szCs w:val="20"/>
        </w:rPr>
        <w:t xml:space="preserve"> </w:t>
      </w:r>
      <w:r w:rsidR="00413B40" w:rsidRPr="003D2AB7">
        <w:rPr>
          <w:rFonts w:cstheme="minorHAnsi"/>
          <w:sz w:val="20"/>
          <w:szCs w:val="20"/>
        </w:rPr>
        <w:t>b</w:t>
      </w:r>
      <w:r w:rsidR="00257432" w:rsidRPr="003D2AB7">
        <w:rPr>
          <w:rFonts w:cstheme="minorHAnsi"/>
          <w:sz w:val="20"/>
          <w:szCs w:val="20"/>
        </w:rPr>
        <w:t>y law</w:t>
      </w:r>
      <w:r w:rsidR="008510CD" w:rsidRPr="003D2AB7">
        <w:rPr>
          <w:rFonts w:cstheme="minorHAnsi"/>
          <w:sz w:val="20"/>
          <w:szCs w:val="20"/>
        </w:rPr>
        <w:t>;</w:t>
      </w:r>
    </w:p>
    <w:p w14:paraId="0698F19C" w14:textId="09AC657B" w:rsidR="003650DE" w:rsidRPr="003D2AB7" w:rsidRDefault="007C07C3" w:rsidP="00DD23DA">
      <w:pPr>
        <w:pStyle w:val="ListParagraph"/>
        <w:numPr>
          <w:ilvl w:val="0"/>
          <w:numId w:val="13"/>
        </w:numPr>
        <w:spacing w:after="0" w:line="240" w:lineRule="auto"/>
        <w:ind w:left="714" w:hanging="357"/>
        <w:contextualSpacing w:val="0"/>
        <w:rPr>
          <w:rFonts w:cstheme="minorHAnsi"/>
          <w:sz w:val="20"/>
          <w:szCs w:val="20"/>
        </w:rPr>
      </w:pPr>
      <w:r w:rsidRPr="003D2AB7">
        <w:rPr>
          <w:rFonts w:cstheme="minorHAnsi"/>
          <w:sz w:val="20"/>
          <w:szCs w:val="20"/>
        </w:rPr>
        <w:t>A</w:t>
      </w:r>
      <w:r w:rsidR="008510CD" w:rsidRPr="003D2AB7">
        <w:rPr>
          <w:rFonts w:cstheme="minorHAnsi"/>
          <w:sz w:val="20"/>
          <w:szCs w:val="20"/>
        </w:rPr>
        <w:t xml:space="preserve">ny </w:t>
      </w:r>
      <w:r w:rsidR="00257432" w:rsidRPr="003D2AB7">
        <w:rPr>
          <w:rFonts w:cstheme="minorHAnsi"/>
          <w:sz w:val="20"/>
          <w:szCs w:val="20"/>
        </w:rPr>
        <w:t xml:space="preserve">other </w:t>
      </w:r>
      <w:r w:rsidR="008510CD" w:rsidRPr="003D2AB7">
        <w:rPr>
          <w:rFonts w:cstheme="minorHAnsi"/>
          <w:sz w:val="20"/>
          <w:szCs w:val="20"/>
        </w:rPr>
        <w:t xml:space="preserve">insurance </w:t>
      </w:r>
      <w:r w:rsidR="00413B40" w:rsidRPr="003D2AB7">
        <w:rPr>
          <w:rFonts w:cstheme="minorHAnsi"/>
          <w:sz w:val="20"/>
          <w:szCs w:val="20"/>
        </w:rPr>
        <w:t>that</w:t>
      </w:r>
      <w:r w:rsidR="008510CD" w:rsidRPr="003D2AB7">
        <w:rPr>
          <w:rFonts w:cstheme="minorHAnsi"/>
          <w:sz w:val="20"/>
          <w:szCs w:val="20"/>
        </w:rPr>
        <w:t xml:space="preserve"> is compulsory under the law for the time being in force in any jurisdiction</w:t>
      </w:r>
      <w:r w:rsidR="003650DE" w:rsidRPr="003D2AB7">
        <w:rPr>
          <w:rFonts w:cstheme="minorHAnsi"/>
          <w:sz w:val="20"/>
          <w:szCs w:val="20"/>
        </w:rPr>
        <w:t xml:space="preserve">; and </w:t>
      </w:r>
    </w:p>
    <w:p w14:paraId="34799430" w14:textId="77777777" w:rsidR="003650DE" w:rsidRPr="003D2AB7" w:rsidRDefault="003650DE" w:rsidP="00DD23DA">
      <w:pPr>
        <w:pStyle w:val="ListParagraph"/>
        <w:numPr>
          <w:ilvl w:val="0"/>
          <w:numId w:val="13"/>
        </w:numPr>
        <w:spacing w:after="0" w:line="240" w:lineRule="auto"/>
        <w:ind w:left="714" w:hanging="357"/>
        <w:contextualSpacing w:val="0"/>
        <w:rPr>
          <w:rFonts w:cstheme="minorHAnsi"/>
          <w:sz w:val="20"/>
          <w:szCs w:val="20"/>
        </w:rPr>
      </w:pPr>
      <w:r w:rsidRPr="003D2AB7">
        <w:rPr>
          <w:rFonts w:cstheme="minorHAnsi"/>
          <w:sz w:val="20"/>
          <w:szCs w:val="20"/>
        </w:rPr>
        <w:t xml:space="preserve">Insurance against loss or damage to an asset for its full reinstatement or replacement cost. </w:t>
      </w:r>
    </w:p>
    <w:p w14:paraId="3736CDD8" w14:textId="2168D029" w:rsidR="003650DE" w:rsidRPr="003D2AB7" w:rsidRDefault="00353E92" w:rsidP="000722AF">
      <w:pPr>
        <w:pStyle w:val="ListParagraph"/>
        <w:spacing w:before="120" w:after="120" w:line="240" w:lineRule="auto"/>
        <w:ind w:left="0"/>
        <w:contextualSpacing w:val="0"/>
        <w:rPr>
          <w:rFonts w:cstheme="minorHAnsi"/>
          <w:sz w:val="20"/>
          <w:szCs w:val="20"/>
        </w:rPr>
      </w:pPr>
      <w:r w:rsidRPr="003D2AB7">
        <w:rPr>
          <w:rFonts w:cstheme="minorHAnsi"/>
          <w:sz w:val="20"/>
          <w:szCs w:val="20"/>
        </w:rPr>
        <w:t>T</w:t>
      </w:r>
      <w:r w:rsidR="003650DE" w:rsidRPr="003D2AB7">
        <w:rPr>
          <w:rFonts w:cstheme="minorHAnsi"/>
          <w:sz w:val="20"/>
          <w:szCs w:val="20"/>
        </w:rPr>
        <w:t xml:space="preserve">he proponent must lodge </w:t>
      </w:r>
      <w:r w:rsidR="008510CD" w:rsidRPr="003D2AB7">
        <w:rPr>
          <w:rFonts w:cstheme="minorHAnsi"/>
          <w:sz w:val="20"/>
          <w:szCs w:val="20"/>
        </w:rPr>
        <w:t>copies of applicable insurances</w:t>
      </w:r>
      <w:r w:rsidR="003650DE" w:rsidRPr="003D2AB7">
        <w:rPr>
          <w:rFonts w:cstheme="minorHAnsi"/>
          <w:sz w:val="20"/>
          <w:szCs w:val="20"/>
        </w:rPr>
        <w:t xml:space="preserve"> with </w:t>
      </w:r>
      <w:r w:rsidR="008510CD" w:rsidRPr="003D2AB7">
        <w:rPr>
          <w:rFonts w:cstheme="minorHAnsi"/>
          <w:sz w:val="20"/>
          <w:szCs w:val="20"/>
        </w:rPr>
        <w:t>DPI</w:t>
      </w:r>
      <w:r w:rsidR="003650DE" w:rsidRPr="003D2AB7">
        <w:rPr>
          <w:rFonts w:cstheme="minorHAnsi"/>
          <w:sz w:val="20"/>
          <w:szCs w:val="20"/>
        </w:rPr>
        <w:t xml:space="preserve"> at the commencement of their agreement (within </w:t>
      </w:r>
      <w:r w:rsidR="008510CD" w:rsidRPr="003D2AB7">
        <w:rPr>
          <w:rFonts w:cstheme="minorHAnsi"/>
          <w:sz w:val="20"/>
          <w:szCs w:val="20"/>
        </w:rPr>
        <w:t>30</w:t>
      </w:r>
      <w:r w:rsidR="003650DE" w:rsidRPr="003D2AB7">
        <w:rPr>
          <w:rFonts w:cstheme="minorHAnsi"/>
          <w:sz w:val="20"/>
          <w:szCs w:val="20"/>
        </w:rPr>
        <w:t xml:space="preserve"> days of signing) as well as evidence</w:t>
      </w:r>
      <w:r w:rsidR="00413B40" w:rsidRPr="003D2AB7">
        <w:rPr>
          <w:rFonts w:cstheme="minorHAnsi"/>
          <w:sz w:val="20"/>
          <w:szCs w:val="20"/>
        </w:rPr>
        <w:t xml:space="preserve"> of</w:t>
      </w:r>
      <w:r w:rsidR="003650DE" w:rsidRPr="003D2AB7">
        <w:rPr>
          <w:rFonts w:cstheme="minorHAnsi"/>
          <w:sz w:val="20"/>
          <w:szCs w:val="20"/>
        </w:rPr>
        <w:t xml:space="preserve"> </w:t>
      </w:r>
      <w:r w:rsidR="008510CD" w:rsidRPr="003D2AB7">
        <w:rPr>
          <w:rFonts w:cstheme="minorHAnsi"/>
          <w:sz w:val="20"/>
          <w:szCs w:val="20"/>
        </w:rPr>
        <w:t xml:space="preserve">the </w:t>
      </w:r>
      <w:r w:rsidR="003650DE" w:rsidRPr="003D2AB7">
        <w:rPr>
          <w:rFonts w:cstheme="minorHAnsi"/>
          <w:sz w:val="20"/>
          <w:szCs w:val="20"/>
        </w:rPr>
        <w:t xml:space="preserve">policy renewal before its anniversary. </w:t>
      </w:r>
      <w:r w:rsidR="00E23F69" w:rsidRPr="003D2AB7">
        <w:rPr>
          <w:rFonts w:cstheme="minorHAnsi"/>
          <w:sz w:val="20"/>
          <w:szCs w:val="20"/>
        </w:rPr>
        <w:t xml:space="preserve">DPI request evidence of insurance </w:t>
      </w:r>
      <w:r w:rsidR="00423D87" w:rsidRPr="003D2AB7">
        <w:rPr>
          <w:rFonts w:cstheme="minorHAnsi"/>
          <w:sz w:val="20"/>
          <w:szCs w:val="20"/>
        </w:rPr>
        <w:t xml:space="preserve">details / evidence as part of a project initiation meetings held with proponents prior to </w:t>
      </w:r>
      <w:r w:rsidR="00CA5BD8" w:rsidRPr="003D2AB7">
        <w:rPr>
          <w:rFonts w:cstheme="minorHAnsi"/>
          <w:sz w:val="20"/>
          <w:szCs w:val="20"/>
        </w:rPr>
        <w:t xml:space="preserve">the </w:t>
      </w:r>
      <w:r w:rsidR="00423D87" w:rsidRPr="003D2AB7">
        <w:rPr>
          <w:rFonts w:cstheme="minorHAnsi"/>
          <w:sz w:val="20"/>
          <w:szCs w:val="20"/>
        </w:rPr>
        <w:t xml:space="preserve">commencement of works. </w:t>
      </w:r>
      <w:r w:rsidR="00CA5BD8" w:rsidRPr="003D2AB7">
        <w:rPr>
          <w:rFonts w:cstheme="minorHAnsi"/>
          <w:sz w:val="20"/>
          <w:szCs w:val="20"/>
        </w:rPr>
        <w:t xml:space="preserve">Further, DPI procedures require updated insurance details or Certificates of Currency (COC’s) to be collected </w:t>
      </w:r>
      <w:r w:rsidR="008820F3" w:rsidRPr="003D2AB7">
        <w:rPr>
          <w:rFonts w:cstheme="minorHAnsi"/>
          <w:sz w:val="20"/>
          <w:szCs w:val="20"/>
        </w:rPr>
        <w:t>at</w:t>
      </w:r>
      <w:r w:rsidR="00BE4870" w:rsidRPr="003D2AB7">
        <w:rPr>
          <w:rFonts w:cstheme="minorHAnsi"/>
          <w:sz w:val="20"/>
          <w:szCs w:val="20"/>
        </w:rPr>
        <w:t xml:space="preserve"> intermediate milestone payments and site inspections </w:t>
      </w:r>
      <w:r w:rsidR="003650DE" w:rsidRPr="003D2AB7">
        <w:rPr>
          <w:rFonts w:cstheme="minorHAnsi"/>
          <w:sz w:val="20"/>
          <w:szCs w:val="20"/>
        </w:rPr>
        <w:t xml:space="preserve">(refer to </w:t>
      </w:r>
      <w:r w:rsidR="00C60159" w:rsidRPr="003D2AB7">
        <w:rPr>
          <w:rFonts w:cstheme="minorHAnsi"/>
          <w:sz w:val="20"/>
          <w:szCs w:val="20"/>
        </w:rPr>
        <w:t>s</w:t>
      </w:r>
      <w:r w:rsidR="003650DE" w:rsidRPr="003D2AB7">
        <w:rPr>
          <w:rFonts w:cstheme="minorHAnsi"/>
          <w:sz w:val="20"/>
          <w:szCs w:val="20"/>
        </w:rPr>
        <w:t>ection 4.</w:t>
      </w:r>
      <w:r w:rsidR="00075888" w:rsidRPr="003D2AB7">
        <w:rPr>
          <w:rFonts w:cstheme="minorHAnsi"/>
          <w:sz w:val="20"/>
          <w:szCs w:val="20"/>
        </w:rPr>
        <w:t>4</w:t>
      </w:r>
      <w:r w:rsidR="003650DE" w:rsidRPr="003D2AB7">
        <w:rPr>
          <w:rFonts w:cstheme="minorHAnsi"/>
          <w:sz w:val="20"/>
          <w:szCs w:val="20"/>
        </w:rPr>
        <w:t xml:space="preserve"> for further detail).</w:t>
      </w:r>
    </w:p>
    <w:p w14:paraId="4C83AEF2" w14:textId="77777777" w:rsidR="002A20A1" w:rsidRPr="003D2AB7" w:rsidRDefault="002A20A1" w:rsidP="000722AF">
      <w:pPr>
        <w:pStyle w:val="Heading2"/>
        <w:rPr>
          <w:rFonts w:asciiTheme="minorHAnsi" w:hAnsiTheme="minorHAnsi" w:cstheme="minorHAnsi"/>
        </w:rPr>
      </w:pPr>
      <w:bookmarkStart w:id="25" w:name="_Toc532474958"/>
      <w:r w:rsidRPr="003D2AB7">
        <w:rPr>
          <w:rFonts w:asciiTheme="minorHAnsi" w:hAnsiTheme="minorHAnsi" w:cstheme="minorHAnsi"/>
        </w:rPr>
        <w:t>On-ground verification</w:t>
      </w:r>
      <w:bookmarkEnd w:id="25"/>
    </w:p>
    <w:p w14:paraId="72DB6968" w14:textId="4D068C1C" w:rsidR="0021771D" w:rsidRPr="003D2AB7" w:rsidRDefault="00474DAB" w:rsidP="00F74EDA">
      <w:pPr>
        <w:shd w:val="clear" w:color="auto" w:fill="E7E6E6" w:themeFill="background2"/>
        <w:rPr>
          <w:rFonts w:cstheme="minorHAnsi"/>
          <w:i/>
          <w:sz w:val="20"/>
          <w:szCs w:val="20"/>
        </w:rPr>
      </w:pPr>
      <w:r w:rsidRPr="003D2AB7">
        <w:rPr>
          <w:rFonts w:cstheme="minorHAnsi"/>
          <w:i/>
          <w:sz w:val="20"/>
          <w:szCs w:val="20"/>
        </w:rPr>
        <w:t xml:space="preserve">From visual inspection, installed works appeared to correspond with the documentation provided, specifically, </w:t>
      </w:r>
      <w:r w:rsidR="00413B40" w:rsidRPr="003D2AB7">
        <w:rPr>
          <w:rFonts w:cstheme="minorHAnsi"/>
          <w:i/>
          <w:sz w:val="20"/>
          <w:szCs w:val="20"/>
        </w:rPr>
        <w:t xml:space="preserve">the </w:t>
      </w:r>
      <w:r w:rsidRPr="003D2AB7">
        <w:rPr>
          <w:rFonts w:cstheme="minorHAnsi"/>
          <w:i/>
          <w:sz w:val="20"/>
          <w:szCs w:val="20"/>
        </w:rPr>
        <w:t>scope and progress of works reported in the approved application, milestone inspection reports and/or final report</w:t>
      </w:r>
      <w:r w:rsidR="00F0507A" w:rsidRPr="003D2AB7">
        <w:rPr>
          <w:rFonts w:cstheme="minorHAnsi"/>
          <w:i/>
          <w:sz w:val="20"/>
          <w:szCs w:val="20"/>
        </w:rPr>
        <w:t>s</w:t>
      </w:r>
      <w:r w:rsidRPr="003D2AB7">
        <w:rPr>
          <w:rFonts w:cstheme="minorHAnsi"/>
          <w:i/>
          <w:sz w:val="20"/>
          <w:szCs w:val="20"/>
        </w:rPr>
        <w:t xml:space="preserve">. </w:t>
      </w:r>
    </w:p>
    <w:p w14:paraId="66679F68" w14:textId="77777777" w:rsidR="00871FD3" w:rsidRPr="003D2AB7" w:rsidRDefault="00871FD3" w:rsidP="003C7C87">
      <w:pPr>
        <w:spacing w:before="120" w:after="120"/>
        <w:rPr>
          <w:rFonts w:cstheme="minorHAnsi"/>
          <w:sz w:val="20"/>
          <w:szCs w:val="20"/>
        </w:rPr>
      </w:pPr>
      <w:r w:rsidRPr="003D2AB7">
        <w:rPr>
          <w:rFonts w:cstheme="minorHAnsi"/>
          <w:sz w:val="20"/>
          <w:szCs w:val="20"/>
        </w:rPr>
        <w:t>In addition to desktop and compliance testing, KPMG undertook on-</w:t>
      </w:r>
      <w:r w:rsidR="009320DA" w:rsidRPr="003D2AB7">
        <w:rPr>
          <w:rFonts w:cstheme="minorHAnsi"/>
          <w:sz w:val="20"/>
          <w:szCs w:val="20"/>
        </w:rPr>
        <w:t>farm</w:t>
      </w:r>
      <w:r w:rsidRPr="003D2AB7">
        <w:rPr>
          <w:rFonts w:cstheme="minorHAnsi"/>
          <w:sz w:val="20"/>
          <w:szCs w:val="20"/>
        </w:rPr>
        <w:t xml:space="preserve"> verification of </w:t>
      </w:r>
      <w:r w:rsidR="00F0507A" w:rsidRPr="003D2AB7">
        <w:rPr>
          <w:rFonts w:cstheme="minorHAnsi"/>
          <w:sz w:val="20"/>
          <w:szCs w:val="20"/>
        </w:rPr>
        <w:t>12</w:t>
      </w:r>
      <w:r w:rsidR="00323904" w:rsidRPr="003D2AB7">
        <w:rPr>
          <w:rFonts w:cstheme="minorHAnsi"/>
          <w:sz w:val="20"/>
          <w:szCs w:val="20"/>
        </w:rPr>
        <w:t xml:space="preserve"> </w:t>
      </w:r>
      <w:r w:rsidRPr="003D2AB7">
        <w:rPr>
          <w:rFonts w:cstheme="minorHAnsi"/>
          <w:sz w:val="20"/>
          <w:szCs w:val="20"/>
        </w:rPr>
        <w:t>projects (out of the sample of 2</w:t>
      </w:r>
      <w:r w:rsidR="00F0507A" w:rsidRPr="003D2AB7">
        <w:rPr>
          <w:rFonts w:cstheme="minorHAnsi"/>
          <w:sz w:val="20"/>
          <w:szCs w:val="20"/>
        </w:rPr>
        <w:t>8</w:t>
      </w:r>
      <w:r w:rsidRPr="003D2AB7">
        <w:rPr>
          <w:rFonts w:cstheme="minorHAnsi"/>
          <w:sz w:val="20"/>
          <w:szCs w:val="20"/>
        </w:rPr>
        <w:t xml:space="preserve"> approved projects). As part of this phase, a KPMG mechanical engineer was engaged as a specialist to assist with </w:t>
      </w:r>
      <w:r w:rsidR="00F0507A" w:rsidRPr="003D2AB7">
        <w:rPr>
          <w:rFonts w:cstheme="minorHAnsi"/>
          <w:sz w:val="20"/>
          <w:szCs w:val="20"/>
        </w:rPr>
        <w:t xml:space="preserve">the </w:t>
      </w:r>
      <w:r w:rsidRPr="003D2AB7">
        <w:rPr>
          <w:rFonts w:cstheme="minorHAnsi"/>
          <w:sz w:val="20"/>
          <w:szCs w:val="20"/>
        </w:rPr>
        <w:t>assessment. The purpose of the site visits were to:</w:t>
      </w:r>
    </w:p>
    <w:p w14:paraId="305B56E3" w14:textId="35BDCF0A" w:rsidR="00871FD3" w:rsidRPr="003D2AB7" w:rsidRDefault="00871FD3" w:rsidP="00251635">
      <w:pPr>
        <w:pStyle w:val="ListParagraph"/>
        <w:numPr>
          <w:ilvl w:val="0"/>
          <w:numId w:val="8"/>
        </w:numPr>
        <w:rPr>
          <w:rFonts w:cstheme="minorHAnsi"/>
          <w:sz w:val="20"/>
          <w:szCs w:val="20"/>
        </w:rPr>
      </w:pPr>
      <w:r w:rsidRPr="003D2AB7">
        <w:rPr>
          <w:rFonts w:cstheme="minorHAnsi"/>
          <w:sz w:val="20"/>
          <w:szCs w:val="20"/>
        </w:rPr>
        <w:t>Gain an understanding of the processes in place for the proponent to ensure they complied with the funding conditions</w:t>
      </w:r>
      <w:r w:rsidR="00413B40" w:rsidRPr="003D2AB7">
        <w:rPr>
          <w:rFonts w:cstheme="minorHAnsi"/>
          <w:sz w:val="20"/>
          <w:szCs w:val="20"/>
        </w:rPr>
        <w:t>;</w:t>
      </w:r>
    </w:p>
    <w:p w14:paraId="3B2110D7" w14:textId="77777777" w:rsidR="00871FD3" w:rsidRPr="003D2AB7" w:rsidRDefault="00871FD3" w:rsidP="00251635">
      <w:pPr>
        <w:pStyle w:val="ListParagraph"/>
        <w:numPr>
          <w:ilvl w:val="0"/>
          <w:numId w:val="8"/>
        </w:numPr>
        <w:rPr>
          <w:rFonts w:cstheme="minorHAnsi"/>
          <w:sz w:val="20"/>
          <w:szCs w:val="20"/>
        </w:rPr>
      </w:pPr>
      <w:r w:rsidRPr="003D2AB7">
        <w:rPr>
          <w:rFonts w:cstheme="minorHAnsi"/>
          <w:sz w:val="20"/>
          <w:szCs w:val="20"/>
        </w:rPr>
        <w:t xml:space="preserve">Undertake </w:t>
      </w:r>
      <w:r w:rsidR="002F7F17" w:rsidRPr="003D2AB7">
        <w:rPr>
          <w:rFonts w:cstheme="minorHAnsi"/>
          <w:sz w:val="20"/>
          <w:szCs w:val="20"/>
        </w:rPr>
        <w:t xml:space="preserve">an </w:t>
      </w:r>
      <w:r w:rsidRPr="003D2AB7">
        <w:rPr>
          <w:rFonts w:cstheme="minorHAnsi"/>
          <w:sz w:val="20"/>
          <w:szCs w:val="20"/>
        </w:rPr>
        <w:t>assessment of the progress made in implementing on-</w:t>
      </w:r>
      <w:r w:rsidR="009320DA" w:rsidRPr="003D2AB7">
        <w:rPr>
          <w:rFonts w:cstheme="minorHAnsi"/>
          <w:sz w:val="20"/>
          <w:szCs w:val="20"/>
        </w:rPr>
        <w:t>farm</w:t>
      </w:r>
      <w:r w:rsidRPr="003D2AB7">
        <w:rPr>
          <w:rFonts w:cstheme="minorHAnsi"/>
          <w:sz w:val="20"/>
          <w:szCs w:val="20"/>
        </w:rPr>
        <w:t xml:space="preserve"> </w:t>
      </w:r>
      <w:r w:rsidR="001A7C14" w:rsidRPr="003D2AB7">
        <w:rPr>
          <w:rFonts w:cstheme="minorHAnsi"/>
          <w:sz w:val="20"/>
          <w:szCs w:val="20"/>
        </w:rPr>
        <w:t>works and</w:t>
      </w:r>
      <w:r w:rsidRPr="003D2AB7">
        <w:rPr>
          <w:rFonts w:cstheme="minorHAnsi"/>
          <w:sz w:val="20"/>
          <w:szCs w:val="20"/>
        </w:rPr>
        <w:t xml:space="preserve"> verification of engineering reports</w:t>
      </w:r>
      <w:r w:rsidR="001A7C14" w:rsidRPr="003D2AB7">
        <w:rPr>
          <w:rFonts w:cstheme="minorHAnsi"/>
          <w:sz w:val="20"/>
          <w:szCs w:val="20"/>
        </w:rPr>
        <w:t xml:space="preserve"> and the information gathered during desktop review</w:t>
      </w:r>
      <w:r w:rsidRPr="003D2AB7">
        <w:rPr>
          <w:rFonts w:cstheme="minorHAnsi"/>
          <w:sz w:val="20"/>
          <w:szCs w:val="20"/>
        </w:rPr>
        <w:t xml:space="preserve">; and </w:t>
      </w:r>
    </w:p>
    <w:p w14:paraId="7E8FE1CB" w14:textId="77777777" w:rsidR="0021771D" w:rsidRPr="003D2AB7" w:rsidRDefault="00871FD3" w:rsidP="00251635">
      <w:pPr>
        <w:pStyle w:val="ListParagraph"/>
        <w:numPr>
          <w:ilvl w:val="0"/>
          <w:numId w:val="8"/>
        </w:numPr>
        <w:rPr>
          <w:rFonts w:cstheme="minorHAnsi"/>
          <w:sz w:val="20"/>
          <w:szCs w:val="20"/>
        </w:rPr>
      </w:pPr>
      <w:r w:rsidRPr="003D2AB7">
        <w:rPr>
          <w:rFonts w:cstheme="minorHAnsi"/>
          <w:sz w:val="20"/>
          <w:szCs w:val="20"/>
        </w:rPr>
        <w:t xml:space="preserve">Follow up any risks or gaps identified during desktop review. </w:t>
      </w:r>
    </w:p>
    <w:p w14:paraId="70D612D8" w14:textId="3DFEF04F" w:rsidR="00C6166A" w:rsidRPr="003D2AB7" w:rsidRDefault="00065626" w:rsidP="00CF54D6">
      <w:pPr>
        <w:rPr>
          <w:rFonts w:cstheme="minorHAnsi"/>
        </w:rPr>
      </w:pPr>
      <w:r w:rsidRPr="003D2AB7">
        <w:rPr>
          <w:rFonts w:cstheme="minorHAnsi"/>
          <w:sz w:val="20"/>
          <w:szCs w:val="20"/>
        </w:rPr>
        <w:t xml:space="preserve">Noting the size and complexity of works, inspections focused on key infrastructure components. The inspections did not test the operating effectiveness of installed works. </w:t>
      </w:r>
      <w:r w:rsidR="0021771D" w:rsidRPr="003D2AB7">
        <w:rPr>
          <w:rFonts w:cstheme="minorHAnsi"/>
          <w:sz w:val="20"/>
          <w:szCs w:val="20"/>
        </w:rPr>
        <w:t xml:space="preserve">For </w:t>
      </w:r>
      <w:r w:rsidR="00413B40" w:rsidRPr="003D2AB7">
        <w:rPr>
          <w:rFonts w:cstheme="minorHAnsi"/>
          <w:sz w:val="20"/>
          <w:szCs w:val="20"/>
        </w:rPr>
        <w:t xml:space="preserve">the </w:t>
      </w:r>
      <w:r w:rsidRPr="003D2AB7">
        <w:rPr>
          <w:rFonts w:cstheme="minorHAnsi"/>
          <w:sz w:val="20"/>
          <w:szCs w:val="20"/>
        </w:rPr>
        <w:t xml:space="preserve">infrastructure </w:t>
      </w:r>
      <w:r w:rsidR="0021771D" w:rsidRPr="003D2AB7">
        <w:rPr>
          <w:rFonts w:cstheme="minorHAnsi"/>
          <w:sz w:val="20"/>
          <w:szCs w:val="20"/>
        </w:rPr>
        <w:t>inspected, on</w:t>
      </w:r>
      <w:r w:rsidR="00323904" w:rsidRPr="003D2AB7">
        <w:rPr>
          <w:rFonts w:cstheme="minorHAnsi"/>
          <w:sz w:val="20"/>
          <w:szCs w:val="20"/>
        </w:rPr>
        <w:t>-</w:t>
      </w:r>
      <w:r w:rsidR="0021771D" w:rsidRPr="003D2AB7">
        <w:rPr>
          <w:rFonts w:cstheme="minorHAnsi"/>
          <w:sz w:val="20"/>
          <w:szCs w:val="20"/>
        </w:rPr>
        <w:t>ground works appear</w:t>
      </w:r>
      <w:r w:rsidR="00E93E78" w:rsidRPr="003D2AB7">
        <w:rPr>
          <w:rFonts w:cstheme="minorHAnsi"/>
          <w:sz w:val="20"/>
          <w:szCs w:val="20"/>
        </w:rPr>
        <w:t>ed</w:t>
      </w:r>
      <w:r w:rsidR="0021771D" w:rsidRPr="003D2AB7">
        <w:rPr>
          <w:rFonts w:cstheme="minorHAnsi"/>
          <w:sz w:val="20"/>
          <w:szCs w:val="20"/>
        </w:rPr>
        <w:t xml:space="preserve"> to </w:t>
      </w:r>
      <w:r w:rsidRPr="003D2AB7">
        <w:rPr>
          <w:rFonts w:cstheme="minorHAnsi"/>
          <w:sz w:val="20"/>
          <w:szCs w:val="20"/>
        </w:rPr>
        <w:t>correlate</w:t>
      </w:r>
      <w:r w:rsidR="00257432" w:rsidRPr="003D2AB7">
        <w:rPr>
          <w:rFonts w:cstheme="minorHAnsi"/>
          <w:sz w:val="20"/>
          <w:szCs w:val="20"/>
        </w:rPr>
        <w:t xml:space="preserve"> with the reported </w:t>
      </w:r>
      <w:r w:rsidR="0021771D" w:rsidRPr="003D2AB7">
        <w:rPr>
          <w:rFonts w:cstheme="minorHAnsi"/>
          <w:sz w:val="20"/>
          <w:szCs w:val="20"/>
        </w:rPr>
        <w:t xml:space="preserve">project status and </w:t>
      </w:r>
      <w:r w:rsidR="00C6166A" w:rsidRPr="003D2AB7">
        <w:rPr>
          <w:rFonts w:cstheme="minorHAnsi"/>
          <w:sz w:val="20"/>
          <w:szCs w:val="20"/>
        </w:rPr>
        <w:t xml:space="preserve">scope of </w:t>
      </w:r>
      <w:r w:rsidR="0021771D" w:rsidRPr="003D2AB7">
        <w:rPr>
          <w:rFonts w:cstheme="minorHAnsi"/>
          <w:sz w:val="20"/>
          <w:szCs w:val="20"/>
        </w:rPr>
        <w:t>works as agreed and recorded</w:t>
      </w:r>
      <w:r w:rsidR="00C6166A" w:rsidRPr="003D2AB7">
        <w:rPr>
          <w:rFonts w:cstheme="minorHAnsi"/>
          <w:sz w:val="20"/>
          <w:szCs w:val="20"/>
        </w:rPr>
        <w:t xml:space="preserve"> – no significant issues</w:t>
      </w:r>
      <w:r w:rsidR="00F0507A" w:rsidRPr="003D2AB7">
        <w:rPr>
          <w:rFonts w:cstheme="minorHAnsi"/>
          <w:sz w:val="20"/>
          <w:szCs w:val="20"/>
        </w:rPr>
        <w:t xml:space="preserve"> or variations</w:t>
      </w:r>
      <w:r w:rsidR="00C6166A" w:rsidRPr="003D2AB7">
        <w:rPr>
          <w:rFonts w:cstheme="minorHAnsi"/>
          <w:sz w:val="20"/>
          <w:szCs w:val="20"/>
        </w:rPr>
        <w:t xml:space="preserve"> </w:t>
      </w:r>
      <w:r w:rsidR="002F7F17" w:rsidRPr="003D2AB7">
        <w:rPr>
          <w:rFonts w:cstheme="minorHAnsi"/>
          <w:sz w:val="20"/>
          <w:szCs w:val="20"/>
        </w:rPr>
        <w:t xml:space="preserve">were </w:t>
      </w:r>
      <w:r w:rsidR="00C6166A" w:rsidRPr="003D2AB7">
        <w:rPr>
          <w:rFonts w:cstheme="minorHAnsi"/>
          <w:sz w:val="20"/>
          <w:szCs w:val="20"/>
        </w:rPr>
        <w:t>noted.</w:t>
      </w:r>
    </w:p>
    <w:p w14:paraId="5F9DCA19" w14:textId="77777777" w:rsidR="00871FD3" w:rsidRPr="003D2AB7" w:rsidRDefault="00155778" w:rsidP="00871FD3">
      <w:pPr>
        <w:pStyle w:val="Heading1"/>
        <w:spacing w:after="160"/>
        <w:rPr>
          <w:rFonts w:asciiTheme="minorHAnsi" w:hAnsiTheme="minorHAnsi" w:cstheme="minorHAnsi"/>
          <w:sz w:val="72"/>
        </w:rPr>
      </w:pPr>
      <w:bookmarkStart w:id="26" w:name="_Toc532474959"/>
      <w:r w:rsidRPr="003D2AB7">
        <w:rPr>
          <w:rFonts w:asciiTheme="minorHAnsi" w:hAnsiTheme="minorHAnsi" w:cstheme="minorHAnsi"/>
          <w:sz w:val="72"/>
        </w:rPr>
        <w:t>Areas for improvement &amp; lessons learnt</w:t>
      </w:r>
      <w:bookmarkEnd w:id="26"/>
    </w:p>
    <w:p w14:paraId="435F14FF" w14:textId="77777777" w:rsidR="009320DA" w:rsidRPr="003D2AB7" w:rsidRDefault="00EF5C6C" w:rsidP="00510322">
      <w:pPr>
        <w:spacing w:before="120" w:after="120" w:line="240" w:lineRule="auto"/>
        <w:rPr>
          <w:rFonts w:cstheme="minorHAnsi"/>
          <w:sz w:val="20"/>
          <w:szCs w:val="20"/>
        </w:rPr>
      </w:pPr>
      <w:r w:rsidRPr="003D2AB7">
        <w:rPr>
          <w:rFonts w:cstheme="minorHAnsi"/>
          <w:sz w:val="20"/>
          <w:szCs w:val="20"/>
        </w:rPr>
        <w:t xml:space="preserve">The following </w:t>
      </w:r>
      <w:r w:rsidR="009320DA" w:rsidRPr="003D2AB7">
        <w:rPr>
          <w:rFonts w:cstheme="minorHAnsi"/>
          <w:sz w:val="20"/>
          <w:szCs w:val="20"/>
        </w:rPr>
        <w:t>improvement observations were identified during the review and are summarised in this section.</w:t>
      </w:r>
      <w:r w:rsidR="00257432" w:rsidRPr="003D2AB7">
        <w:rPr>
          <w:rFonts w:cstheme="minorHAnsi"/>
          <w:sz w:val="20"/>
          <w:szCs w:val="20"/>
        </w:rPr>
        <w:t xml:space="preserve"> These do not appear to have a material impact on the administration of the IFM project. </w:t>
      </w:r>
    </w:p>
    <w:p w14:paraId="31B55467" w14:textId="77777777" w:rsidR="005773AC" w:rsidRPr="003D2AB7" w:rsidRDefault="00230008" w:rsidP="000722AF">
      <w:pPr>
        <w:pStyle w:val="Heading2"/>
        <w:rPr>
          <w:rFonts w:asciiTheme="minorHAnsi" w:hAnsiTheme="minorHAnsi" w:cstheme="minorHAnsi"/>
        </w:rPr>
      </w:pPr>
      <w:bookmarkStart w:id="27" w:name="_Toc532474960"/>
      <w:r w:rsidRPr="003D2AB7">
        <w:rPr>
          <w:rFonts w:asciiTheme="minorHAnsi" w:hAnsiTheme="minorHAnsi" w:cstheme="minorHAnsi"/>
        </w:rPr>
        <w:t xml:space="preserve">Risk and </w:t>
      </w:r>
      <w:r w:rsidR="00276030" w:rsidRPr="003D2AB7">
        <w:rPr>
          <w:rFonts w:asciiTheme="minorHAnsi" w:hAnsiTheme="minorHAnsi" w:cstheme="minorHAnsi"/>
        </w:rPr>
        <w:t>i</w:t>
      </w:r>
      <w:r w:rsidRPr="003D2AB7">
        <w:rPr>
          <w:rFonts w:asciiTheme="minorHAnsi" w:hAnsiTheme="minorHAnsi" w:cstheme="minorHAnsi"/>
        </w:rPr>
        <w:t xml:space="preserve">ssue </w:t>
      </w:r>
      <w:r w:rsidR="00A54E1E" w:rsidRPr="003D2AB7">
        <w:rPr>
          <w:rFonts w:asciiTheme="minorHAnsi" w:hAnsiTheme="minorHAnsi" w:cstheme="minorHAnsi"/>
        </w:rPr>
        <w:t>management</w:t>
      </w:r>
      <w:bookmarkEnd w:id="27"/>
    </w:p>
    <w:p w14:paraId="1473BE20" w14:textId="7140283F" w:rsidR="00EF5C6C" w:rsidRPr="003D2AB7" w:rsidRDefault="00EF5C6C" w:rsidP="003C7C87">
      <w:pPr>
        <w:spacing w:before="120" w:after="120" w:line="240" w:lineRule="auto"/>
        <w:rPr>
          <w:rFonts w:cstheme="minorHAnsi"/>
          <w:sz w:val="20"/>
          <w:szCs w:val="20"/>
        </w:rPr>
      </w:pPr>
      <w:r w:rsidRPr="003D2AB7">
        <w:rPr>
          <w:rFonts w:cstheme="minorHAnsi"/>
          <w:sz w:val="20"/>
          <w:szCs w:val="20"/>
        </w:rPr>
        <w:t>The IFM implementation plan indicated that</w:t>
      </w:r>
      <w:r w:rsidR="00D2167C" w:rsidRPr="003D2AB7">
        <w:rPr>
          <w:rFonts w:cstheme="minorHAnsi"/>
          <w:sz w:val="20"/>
          <w:szCs w:val="20"/>
        </w:rPr>
        <w:t xml:space="preserve"> </w:t>
      </w:r>
      <w:r w:rsidR="00A54E1E" w:rsidRPr="003D2AB7">
        <w:rPr>
          <w:rFonts w:cstheme="minorHAnsi"/>
          <w:sz w:val="20"/>
          <w:szCs w:val="20"/>
        </w:rPr>
        <w:t xml:space="preserve">a </w:t>
      </w:r>
      <w:r w:rsidRPr="003D2AB7">
        <w:rPr>
          <w:rFonts w:cstheme="minorHAnsi"/>
          <w:sz w:val="20"/>
          <w:szCs w:val="20"/>
        </w:rPr>
        <w:t>risk manageme</w:t>
      </w:r>
      <w:r w:rsidR="00EB1893" w:rsidRPr="003D2AB7">
        <w:rPr>
          <w:rFonts w:cstheme="minorHAnsi"/>
          <w:sz w:val="20"/>
          <w:szCs w:val="20"/>
        </w:rPr>
        <w:t xml:space="preserve">nt plan will be prepared for the </w:t>
      </w:r>
      <w:r w:rsidRPr="003D2AB7">
        <w:rPr>
          <w:rFonts w:cstheme="minorHAnsi"/>
          <w:sz w:val="20"/>
          <w:szCs w:val="20"/>
        </w:rPr>
        <w:t xml:space="preserve">IFM </w:t>
      </w:r>
      <w:r w:rsidR="00EB1893" w:rsidRPr="003D2AB7">
        <w:rPr>
          <w:rFonts w:cstheme="minorHAnsi"/>
          <w:sz w:val="20"/>
          <w:szCs w:val="20"/>
        </w:rPr>
        <w:t xml:space="preserve">project </w:t>
      </w:r>
      <w:r w:rsidR="007C07C3" w:rsidRPr="003D2AB7">
        <w:rPr>
          <w:rFonts w:cstheme="minorHAnsi"/>
          <w:sz w:val="20"/>
          <w:szCs w:val="20"/>
        </w:rPr>
        <w:t>and</w:t>
      </w:r>
      <w:r w:rsidR="005B2224" w:rsidRPr="003D2AB7">
        <w:rPr>
          <w:rFonts w:cstheme="minorHAnsi"/>
          <w:sz w:val="20"/>
          <w:szCs w:val="20"/>
        </w:rPr>
        <w:t xml:space="preserve"> reviewed at each Steering</w:t>
      </w:r>
      <w:r w:rsidR="00EB1893" w:rsidRPr="003D2AB7">
        <w:rPr>
          <w:rFonts w:cstheme="minorHAnsi"/>
          <w:sz w:val="20"/>
          <w:szCs w:val="20"/>
        </w:rPr>
        <w:t xml:space="preserve"> committee meeting</w:t>
      </w:r>
      <w:r w:rsidR="005B2224" w:rsidRPr="003D2AB7">
        <w:rPr>
          <w:rFonts w:cstheme="minorHAnsi"/>
          <w:sz w:val="20"/>
          <w:szCs w:val="20"/>
        </w:rPr>
        <w:t>. In</w:t>
      </w:r>
      <w:r w:rsidRPr="003D2AB7">
        <w:rPr>
          <w:rFonts w:cstheme="minorHAnsi"/>
          <w:sz w:val="20"/>
          <w:szCs w:val="20"/>
        </w:rPr>
        <w:t xml:space="preserve"> addition</w:t>
      </w:r>
      <w:r w:rsidR="00413B40" w:rsidRPr="003D2AB7">
        <w:rPr>
          <w:rFonts w:cstheme="minorHAnsi"/>
          <w:sz w:val="20"/>
          <w:szCs w:val="20"/>
        </w:rPr>
        <w:t>,</w:t>
      </w:r>
      <w:r w:rsidRPr="003D2AB7">
        <w:rPr>
          <w:rFonts w:cstheme="minorHAnsi"/>
          <w:sz w:val="20"/>
          <w:szCs w:val="20"/>
        </w:rPr>
        <w:t xml:space="preserve"> it states that DPI will undertake a risk analysis that remains “live” throughout the entire project. </w:t>
      </w:r>
    </w:p>
    <w:p w14:paraId="375188C6" w14:textId="4554ECE0" w:rsidR="00375BC3" w:rsidRPr="003D2AB7" w:rsidRDefault="00EF5C6C" w:rsidP="003C7C87">
      <w:pPr>
        <w:spacing w:before="120" w:after="120" w:line="240" w:lineRule="auto"/>
        <w:rPr>
          <w:rFonts w:cstheme="minorHAnsi"/>
          <w:sz w:val="20"/>
          <w:szCs w:val="20"/>
        </w:rPr>
      </w:pPr>
      <w:r w:rsidRPr="003D2AB7">
        <w:rPr>
          <w:rFonts w:cstheme="minorHAnsi"/>
          <w:sz w:val="20"/>
          <w:szCs w:val="20"/>
        </w:rPr>
        <w:t xml:space="preserve">KPMG </w:t>
      </w:r>
      <w:r w:rsidR="00A54E1E" w:rsidRPr="003D2AB7">
        <w:rPr>
          <w:rFonts w:cstheme="minorHAnsi"/>
          <w:sz w:val="20"/>
          <w:szCs w:val="20"/>
        </w:rPr>
        <w:t xml:space="preserve">found that </w:t>
      </w:r>
      <w:r w:rsidR="00EB1893" w:rsidRPr="003D2AB7">
        <w:rPr>
          <w:rFonts w:cstheme="minorHAnsi"/>
          <w:sz w:val="20"/>
          <w:szCs w:val="20"/>
        </w:rPr>
        <w:t xml:space="preserve">while </w:t>
      </w:r>
      <w:r w:rsidRPr="003D2AB7">
        <w:rPr>
          <w:rFonts w:cstheme="minorHAnsi"/>
          <w:sz w:val="20"/>
          <w:szCs w:val="20"/>
        </w:rPr>
        <w:t xml:space="preserve">DPI </w:t>
      </w:r>
      <w:r w:rsidR="00EB1893" w:rsidRPr="003D2AB7">
        <w:rPr>
          <w:rFonts w:cstheme="minorHAnsi"/>
          <w:sz w:val="20"/>
          <w:szCs w:val="20"/>
        </w:rPr>
        <w:t xml:space="preserve">have established the mechanisms to report and raise risks and issues, DPI </w:t>
      </w:r>
      <w:r w:rsidRPr="003D2AB7">
        <w:rPr>
          <w:rFonts w:cstheme="minorHAnsi"/>
          <w:sz w:val="20"/>
          <w:szCs w:val="20"/>
        </w:rPr>
        <w:t xml:space="preserve">have not developed a </w:t>
      </w:r>
      <w:r w:rsidR="00A54E1E" w:rsidRPr="003D2AB7">
        <w:rPr>
          <w:rFonts w:cstheme="minorHAnsi"/>
          <w:sz w:val="20"/>
          <w:szCs w:val="20"/>
        </w:rPr>
        <w:t xml:space="preserve">formal </w:t>
      </w:r>
      <w:r w:rsidRPr="003D2AB7">
        <w:rPr>
          <w:rFonts w:cstheme="minorHAnsi"/>
          <w:sz w:val="20"/>
          <w:szCs w:val="20"/>
        </w:rPr>
        <w:t xml:space="preserve">risk management plan, risk register and issues register in accordance with the IFM implementation plan. </w:t>
      </w:r>
      <w:r w:rsidR="0077783C" w:rsidRPr="003D2AB7">
        <w:rPr>
          <w:rFonts w:cstheme="minorHAnsi"/>
          <w:sz w:val="20"/>
          <w:szCs w:val="20"/>
        </w:rPr>
        <w:t xml:space="preserve">Noting the size and complexity of the IFM program, formal risk and issue management artefacts should have been developed and maintained. </w:t>
      </w:r>
    </w:p>
    <w:p w14:paraId="4DF8E1C8" w14:textId="77777777" w:rsidR="0077783C" w:rsidRPr="003D2AB7" w:rsidRDefault="00A54E1E" w:rsidP="003C7C87">
      <w:pPr>
        <w:spacing w:before="120" w:after="120" w:line="240" w:lineRule="auto"/>
        <w:rPr>
          <w:rFonts w:cstheme="minorHAnsi"/>
          <w:sz w:val="20"/>
          <w:szCs w:val="20"/>
        </w:rPr>
      </w:pPr>
      <w:r w:rsidRPr="003D2AB7">
        <w:rPr>
          <w:rFonts w:cstheme="minorHAnsi"/>
          <w:sz w:val="20"/>
          <w:szCs w:val="20"/>
        </w:rPr>
        <w:t>DPI were able to demonstrate active risk management practices through the establishment</w:t>
      </w:r>
      <w:r w:rsidR="00282EBC" w:rsidRPr="003D2AB7">
        <w:rPr>
          <w:rFonts w:cstheme="minorHAnsi"/>
          <w:sz w:val="20"/>
          <w:szCs w:val="20"/>
        </w:rPr>
        <w:t xml:space="preserve"> and ongoing review of various</w:t>
      </w:r>
      <w:r w:rsidRPr="003D2AB7">
        <w:rPr>
          <w:rFonts w:cstheme="minorHAnsi"/>
          <w:sz w:val="20"/>
          <w:szCs w:val="20"/>
        </w:rPr>
        <w:t xml:space="preserve"> </w:t>
      </w:r>
      <w:r w:rsidR="00282EBC" w:rsidRPr="003D2AB7">
        <w:rPr>
          <w:rFonts w:cstheme="minorHAnsi"/>
          <w:sz w:val="20"/>
          <w:szCs w:val="20"/>
        </w:rPr>
        <w:t>project</w:t>
      </w:r>
      <w:r w:rsidRPr="003D2AB7">
        <w:rPr>
          <w:rFonts w:cstheme="minorHAnsi"/>
          <w:sz w:val="20"/>
          <w:szCs w:val="20"/>
        </w:rPr>
        <w:t xml:space="preserve"> controls and processes. </w:t>
      </w:r>
      <w:r w:rsidR="00282EBC" w:rsidRPr="003D2AB7">
        <w:rPr>
          <w:rFonts w:cstheme="minorHAnsi"/>
          <w:sz w:val="20"/>
          <w:szCs w:val="20"/>
        </w:rPr>
        <w:t>T</w:t>
      </w:r>
      <w:r w:rsidRPr="003D2AB7">
        <w:rPr>
          <w:rFonts w:cstheme="minorHAnsi"/>
          <w:sz w:val="20"/>
          <w:szCs w:val="20"/>
        </w:rPr>
        <w:t>he</w:t>
      </w:r>
      <w:r w:rsidR="001A1CC1" w:rsidRPr="003D2AB7">
        <w:rPr>
          <w:rFonts w:cstheme="minorHAnsi"/>
          <w:sz w:val="20"/>
          <w:szCs w:val="20"/>
        </w:rPr>
        <w:t xml:space="preserve"> establishment of formal risk and issues processes and artefacts provides a systematic and transparent basis to evidence these practices. </w:t>
      </w:r>
      <w:r w:rsidR="0077783C" w:rsidRPr="003D2AB7">
        <w:rPr>
          <w:rFonts w:cstheme="minorHAnsi"/>
          <w:sz w:val="20"/>
          <w:szCs w:val="20"/>
        </w:rPr>
        <w:t xml:space="preserve">For future projects DPI should ensure risk and issue management processes and procedures are formalised and actively undertaken. </w:t>
      </w:r>
    </w:p>
    <w:p w14:paraId="5FFA84EE" w14:textId="77777777" w:rsidR="008139C7" w:rsidRPr="003D2AB7" w:rsidRDefault="008139C7" w:rsidP="008139C7">
      <w:pPr>
        <w:pStyle w:val="Heading2"/>
        <w:keepNext/>
        <w:keepLines/>
        <w:rPr>
          <w:rFonts w:asciiTheme="minorHAnsi" w:hAnsiTheme="minorHAnsi" w:cstheme="minorHAnsi"/>
        </w:rPr>
      </w:pPr>
      <w:bookmarkStart w:id="28" w:name="_Toc532474961"/>
      <w:r w:rsidRPr="003D2AB7">
        <w:rPr>
          <w:rFonts w:asciiTheme="minorHAnsi" w:hAnsiTheme="minorHAnsi" w:cstheme="minorHAnsi"/>
        </w:rPr>
        <w:t>Proponent payment processing</w:t>
      </w:r>
      <w:bookmarkEnd w:id="28"/>
      <w:r w:rsidRPr="003D2AB7">
        <w:rPr>
          <w:rFonts w:asciiTheme="minorHAnsi" w:hAnsiTheme="minorHAnsi" w:cstheme="minorHAnsi"/>
        </w:rPr>
        <w:t xml:space="preserve">  </w:t>
      </w:r>
    </w:p>
    <w:p w14:paraId="28CA7F0C" w14:textId="77777777" w:rsidR="0049146E" w:rsidRPr="003D2AB7" w:rsidRDefault="00925710" w:rsidP="003C7C87">
      <w:pPr>
        <w:spacing w:before="120" w:after="120" w:line="240" w:lineRule="auto"/>
        <w:rPr>
          <w:rFonts w:cstheme="minorHAnsi"/>
          <w:sz w:val="20"/>
          <w:szCs w:val="20"/>
        </w:rPr>
      </w:pPr>
      <w:r w:rsidRPr="003D2AB7">
        <w:rPr>
          <w:rFonts w:cstheme="minorHAnsi"/>
          <w:sz w:val="20"/>
          <w:szCs w:val="20"/>
        </w:rPr>
        <w:t>As per item</w:t>
      </w:r>
      <w:r w:rsidR="008139C7" w:rsidRPr="003D2AB7">
        <w:rPr>
          <w:rFonts w:cstheme="minorHAnsi"/>
          <w:sz w:val="20"/>
          <w:szCs w:val="20"/>
        </w:rPr>
        <w:t xml:space="preserve"> B.4.2</w:t>
      </w:r>
      <w:r w:rsidRPr="003D2AB7">
        <w:rPr>
          <w:rFonts w:cstheme="minorHAnsi"/>
          <w:sz w:val="20"/>
          <w:szCs w:val="20"/>
        </w:rPr>
        <w:t xml:space="preserve"> (ii) of Schedule 5 of the WMPA DPI may only provide funding to a proponent for its on-farm works if</w:t>
      </w:r>
      <w:r w:rsidR="0049146E" w:rsidRPr="003D2AB7">
        <w:rPr>
          <w:rFonts w:cstheme="minorHAnsi"/>
          <w:sz w:val="20"/>
          <w:szCs w:val="20"/>
        </w:rPr>
        <w:t>:</w:t>
      </w:r>
    </w:p>
    <w:p w14:paraId="7B78A800" w14:textId="77777777" w:rsidR="0049146E" w:rsidRPr="003D2AB7" w:rsidRDefault="0049146E" w:rsidP="003C7C87">
      <w:pPr>
        <w:spacing w:before="120" w:after="120"/>
        <w:ind w:left="720"/>
        <w:rPr>
          <w:rFonts w:cstheme="minorHAnsi"/>
          <w:i/>
          <w:sz w:val="18"/>
          <w:szCs w:val="20"/>
        </w:rPr>
      </w:pPr>
      <w:r w:rsidRPr="003D2AB7">
        <w:rPr>
          <w:rFonts w:cstheme="minorHAnsi"/>
          <w:i/>
          <w:sz w:val="18"/>
          <w:szCs w:val="20"/>
        </w:rPr>
        <w:t>“</w:t>
      </w:r>
      <w:r w:rsidR="00925710" w:rsidRPr="003D2AB7">
        <w:rPr>
          <w:rFonts w:cstheme="minorHAnsi"/>
          <w:i/>
          <w:sz w:val="18"/>
          <w:szCs w:val="20"/>
        </w:rPr>
        <w:t>Transfer of the Proponent Water Entitlement required under that contract between the State and the Entitlement Owner has been completed.</w:t>
      </w:r>
      <w:r w:rsidRPr="003D2AB7">
        <w:rPr>
          <w:rFonts w:cstheme="minorHAnsi"/>
          <w:i/>
          <w:sz w:val="18"/>
          <w:szCs w:val="20"/>
        </w:rPr>
        <w:t>”</w:t>
      </w:r>
      <w:r w:rsidR="00925710" w:rsidRPr="003D2AB7">
        <w:rPr>
          <w:rFonts w:cstheme="minorHAnsi"/>
          <w:i/>
          <w:sz w:val="18"/>
          <w:szCs w:val="20"/>
        </w:rPr>
        <w:t xml:space="preserve"> </w:t>
      </w:r>
      <w:r w:rsidR="008139C7" w:rsidRPr="003D2AB7">
        <w:rPr>
          <w:rFonts w:cstheme="minorHAnsi"/>
          <w:i/>
          <w:sz w:val="18"/>
          <w:szCs w:val="20"/>
        </w:rPr>
        <w:t xml:space="preserve"> </w:t>
      </w:r>
    </w:p>
    <w:p w14:paraId="5ED2147D" w14:textId="66102E1B" w:rsidR="00925710" w:rsidRPr="003D2AB7" w:rsidRDefault="00925710" w:rsidP="003C7C87">
      <w:pPr>
        <w:spacing w:before="120" w:after="120" w:line="240" w:lineRule="auto"/>
        <w:rPr>
          <w:rFonts w:cstheme="minorHAnsi"/>
          <w:sz w:val="20"/>
          <w:szCs w:val="20"/>
        </w:rPr>
      </w:pPr>
      <w:r w:rsidRPr="003D2AB7">
        <w:rPr>
          <w:rFonts w:cstheme="minorHAnsi"/>
          <w:sz w:val="20"/>
          <w:szCs w:val="20"/>
        </w:rPr>
        <w:t>As discussed in Section 3.4, KPMG identified eight instances where proponents received milestone one payments prior to WAL settlement</w:t>
      </w:r>
      <w:r w:rsidR="0049146E" w:rsidRPr="003D2AB7">
        <w:rPr>
          <w:rFonts w:cstheme="minorHAnsi"/>
          <w:sz w:val="20"/>
          <w:szCs w:val="20"/>
        </w:rPr>
        <w:t xml:space="preserve">. </w:t>
      </w:r>
      <w:r w:rsidR="008139C7" w:rsidRPr="003D2AB7">
        <w:rPr>
          <w:rFonts w:cstheme="minorHAnsi"/>
          <w:sz w:val="20"/>
          <w:szCs w:val="20"/>
        </w:rPr>
        <w:t>All instances related to funding rounds 1 and 2 completed in 2013 and 2014</w:t>
      </w:r>
      <w:r w:rsidRPr="003D2AB7">
        <w:rPr>
          <w:rFonts w:cstheme="minorHAnsi"/>
          <w:sz w:val="20"/>
          <w:szCs w:val="20"/>
        </w:rPr>
        <w:t>, no further instances were identified in subsequent rounds.</w:t>
      </w:r>
      <w:r w:rsidR="008139C7" w:rsidRPr="003D2AB7">
        <w:rPr>
          <w:rFonts w:cstheme="minorHAnsi"/>
          <w:sz w:val="20"/>
          <w:szCs w:val="20"/>
        </w:rPr>
        <w:t xml:space="preserve"> Discussion indicated that</w:t>
      </w:r>
      <w:r w:rsidRPr="003D2AB7">
        <w:rPr>
          <w:rFonts w:cstheme="minorHAnsi"/>
          <w:sz w:val="20"/>
          <w:szCs w:val="20"/>
        </w:rPr>
        <w:t xml:space="preserve"> p</w:t>
      </w:r>
      <w:r w:rsidR="008139C7" w:rsidRPr="003D2AB7">
        <w:rPr>
          <w:rFonts w:cstheme="minorHAnsi"/>
          <w:sz w:val="20"/>
          <w:szCs w:val="20"/>
        </w:rPr>
        <w:t>ayment was expedited by DPI to ensure construction could commence in a timely manner. While this did not align with agreed processes, we were advised that this decision was made to mitigate the risk of delays in the delivery of the project.</w:t>
      </w:r>
      <w:r w:rsidR="0049146E" w:rsidRPr="003D2AB7">
        <w:rPr>
          <w:rFonts w:cstheme="minorHAnsi"/>
          <w:sz w:val="20"/>
          <w:szCs w:val="20"/>
        </w:rPr>
        <w:t xml:space="preserve"> </w:t>
      </w:r>
      <w:r w:rsidRPr="003D2AB7">
        <w:rPr>
          <w:rFonts w:cstheme="minorHAnsi"/>
          <w:sz w:val="20"/>
          <w:szCs w:val="20"/>
        </w:rPr>
        <w:t xml:space="preserve">No material impact on program or financial administration </w:t>
      </w:r>
      <w:r w:rsidR="0049146E" w:rsidRPr="003D2AB7">
        <w:rPr>
          <w:rFonts w:cstheme="minorHAnsi"/>
          <w:sz w:val="20"/>
          <w:szCs w:val="20"/>
        </w:rPr>
        <w:t>could be</w:t>
      </w:r>
      <w:r w:rsidRPr="003D2AB7">
        <w:rPr>
          <w:rFonts w:cstheme="minorHAnsi"/>
          <w:sz w:val="20"/>
          <w:szCs w:val="20"/>
        </w:rPr>
        <w:t xml:space="preserve"> identified, as:</w:t>
      </w:r>
    </w:p>
    <w:p w14:paraId="3C68EF6E" w14:textId="77777777" w:rsidR="001F4CE2" w:rsidRPr="003D2AB7" w:rsidRDefault="00925710" w:rsidP="003C7C87">
      <w:pPr>
        <w:pStyle w:val="ListParagraph"/>
        <w:numPr>
          <w:ilvl w:val="0"/>
          <w:numId w:val="33"/>
        </w:numPr>
        <w:rPr>
          <w:rFonts w:cstheme="minorHAnsi"/>
          <w:sz w:val="20"/>
          <w:szCs w:val="20"/>
        </w:rPr>
      </w:pPr>
      <w:r w:rsidRPr="003D2AB7">
        <w:rPr>
          <w:rFonts w:cstheme="minorHAnsi"/>
          <w:sz w:val="20"/>
          <w:szCs w:val="20"/>
        </w:rPr>
        <w:t>DPI</w:t>
      </w:r>
      <w:r w:rsidR="008139C7" w:rsidRPr="003D2AB7">
        <w:rPr>
          <w:rFonts w:cstheme="minorHAnsi"/>
          <w:sz w:val="20"/>
          <w:szCs w:val="20"/>
        </w:rPr>
        <w:t xml:space="preserve"> indicated that all </w:t>
      </w:r>
      <w:r w:rsidR="009F452D" w:rsidRPr="003D2AB7">
        <w:rPr>
          <w:rFonts w:cstheme="minorHAnsi"/>
          <w:sz w:val="20"/>
          <w:szCs w:val="20"/>
        </w:rPr>
        <w:t xml:space="preserve">water </w:t>
      </w:r>
      <w:r w:rsidR="008139C7" w:rsidRPr="003D2AB7">
        <w:rPr>
          <w:rFonts w:cstheme="minorHAnsi"/>
          <w:sz w:val="20"/>
          <w:szCs w:val="20"/>
        </w:rPr>
        <w:t>transfers did subsequently occur</w:t>
      </w:r>
      <w:r w:rsidRPr="003D2AB7">
        <w:rPr>
          <w:rFonts w:cstheme="minorHAnsi"/>
          <w:sz w:val="20"/>
          <w:szCs w:val="20"/>
        </w:rPr>
        <w:t xml:space="preserve"> as agreed</w:t>
      </w:r>
      <w:r w:rsidR="0049146E" w:rsidRPr="003D2AB7">
        <w:rPr>
          <w:rFonts w:cstheme="minorHAnsi"/>
          <w:sz w:val="20"/>
          <w:szCs w:val="20"/>
        </w:rPr>
        <w:t>;</w:t>
      </w:r>
      <w:r w:rsidR="008139C7" w:rsidRPr="003D2AB7">
        <w:rPr>
          <w:rFonts w:cstheme="minorHAnsi"/>
          <w:sz w:val="20"/>
          <w:szCs w:val="20"/>
        </w:rPr>
        <w:t xml:space="preserve"> </w:t>
      </w:r>
    </w:p>
    <w:p w14:paraId="20B617A5" w14:textId="77777777" w:rsidR="008139C7" w:rsidRPr="003D2AB7" w:rsidRDefault="0049146E" w:rsidP="003C7C87">
      <w:pPr>
        <w:pStyle w:val="ListParagraph"/>
        <w:numPr>
          <w:ilvl w:val="0"/>
          <w:numId w:val="33"/>
        </w:numPr>
        <w:rPr>
          <w:rFonts w:cstheme="minorHAnsi"/>
          <w:sz w:val="20"/>
          <w:szCs w:val="20"/>
        </w:rPr>
      </w:pPr>
      <w:r w:rsidRPr="003D2AB7">
        <w:rPr>
          <w:rFonts w:cstheme="minorHAnsi"/>
          <w:sz w:val="20"/>
          <w:szCs w:val="20"/>
        </w:rPr>
        <w:t>A</w:t>
      </w:r>
      <w:r w:rsidR="008139C7" w:rsidRPr="003D2AB7">
        <w:rPr>
          <w:rFonts w:cstheme="minorHAnsi"/>
          <w:sz w:val="20"/>
          <w:szCs w:val="20"/>
        </w:rPr>
        <w:t>ll subsequent payments were made in accordance with the funding deed</w:t>
      </w:r>
      <w:r w:rsidR="00925710" w:rsidRPr="003D2AB7">
        <w:rPr>
          <w:rFonts w:cstheme="minorHAnsi"/>
          <w:sz w:val="20"/>
          <w:szCs w:val="20"/>
        </w:rPr>
        <w:t>; and</w:t>
      </w:r>
    </w:p>
    <w:p w14:paraId="04B5CFC4" w14:textId="77777777" w:rsidR="00925710" w:rsidRPr="003D2AB7" w:rsidRDefault="00925710" w:rsidP="003C7C87">
      <w:pPr>
        <w:pStyle w:val="ListParagraph"/>
        <w:numPr>
          <w:ilvl w:val="0"/>
          <w:numId w:val="33"/>
        </w:numPr>
        <w:rPr>
          <w:rFonts w:cstheme="minorHAnsi"/>
          <w:sz w:val="20"/>
          <w:szCs w:val="20"/>
        </w:rPr>
      </w:pPr>
      <w:r w:rsidRPr="003D2AB7">
        <w:rPr>
          <w:rFonts w:cstheme="minorHAnsi"/>
          <w:sz w:val="20"/>
          <w:szCs w:val="20"/>
        </w:rPr>
        <w:t xml:space="preserve">All agreed works were completed in accordance with the funding deed. </w:t>
      </w:r>
    </w:p>
    <w:p w14:paraId="4DF035DE" w14:textId="4BDA40B3" w:rsidR="00925710" w:rsidRPr="003D2AB7" w:rsidRDefault="00DD5483" w:rsidP="003C7C87">
      <w:pPr>
        <w:spacing w:before="120" w:after="120" w:line="240" w:lineRule="auto"/>
        <w:rPr>
          <w:rFonts w:cstheme="minorHAnsi"/>
          <w:sz w:val="20"/>
          <w:szCs w:val="20"/>
        </w:rPr>
      </w:pPr>
      <w:r w:rsidRPr="003D2AB7">
        <w:rPr>
          <w:rFonts w:cstheme="minorHAnsi"/>
          <w:sz w:val="20"/>
          <w:szCs w:val="20"/>
        </w:rPr>
        <w:t xml:space="preserve">This process did not appear to continue in subsequent funding rounds. Additionally, current procedure documentation explicitly states that the relevant dealings must be registered in order to trigger the first milestone payment. For any future project payments, </w:t>
      </w:r>
      <w:r w:rsidR="00925710" w:rsidRPr="003D2AB7">
        <w:rPr>
          <w:rFonts w:cstheme="minorHAnsi"/>
          <w:sz w:val="20"/>
          <w:szCs w:val="20"/>
        </w:rPr>
        <w:t>should the need arise</w:t>
      </w:r>
      <w:r w:rsidRPr="003D2AB7">
        <w:rPr>
          <w:rFonts w:cstheme="minorHAnsi"/>
          <w:sz w:val="20"/>
          <w:szCs w:val="20"/>
        </w:rPr>
        <w:t xml:space="preserve"> to amend the payment protocols</w:t>
      </w:r>
      <w:r w:rsidR="00925710" w:rsidRPr="003D2AB7">
        <w:rPr>
          <w:rFonts w:cstheme="minorHAnsi"/>
          <w:sz w:val="20"/>
          <w:szCs w:val="20"/>
        </w:rPr>
        <w:t xml:space="preserve"> </w:t>
      </w:r>
      <w:r w:rsidRPr="003D2AB7">
        <w:rPr>
          <w:rFonts w:cstheme="minorHAnsi"/>
          <w:sz w:val="20"/>
          <w:szCs w:val="20"/>
        </w:rPr>
        <w:t>outlined in the WMPA</w:t>
      </w:r>
      <w:r w:rsidR="00413B40" w:rsidRPr="003D2AB7">
        <w:rPr>
          <w:rFonts w:cstheme="minorHAnsi"/>
          <w:sz w:val="20"/>
          <w:szCs w:val="20"/>
        </w:rPr>
        <w:t>,</w:t>
      </w:r>
      <w:r w:rsidRPr="003D2AB7">
        <w:rPr>
          <w:rFonts w:cstheme="minorHAnsi"/>
          <w:sz w:val="20"/>
          <w:szCs w:val="20"/>
        </w:rPr>
        <w:t xml:space="preserve"> </w:t>
      </w:r>
      <w:r w:rsidR="0049146E" w:rsidRPr="003D2AB7">
        <w:rPr>
          <w:rFonts w:cstheme="minorHAnsi"/>
          <w:sz w:val="20"/>
          <w:szCs w:val="20"/>
        </w:rPr>
        <w:t xml:space="preserve">DPI must obtain </w:t>
      </w:r>
      <w:r w:rsidR="00413B40" w:rsidRPr="003D2AB7">
        <w:rPr>
          <w:rFonts w:cstheme="minorHAnsi"/>
          <w:sz w:val="20"/>
          <w:szCs w:val="20"/>
        </w:rPr>
        <w:t xml:space="preserve">prior </w:t>
      </w:r>
      <w:r w:rsidR="0049146E" w:rsidRPr="003D2AB7">
        <w:rPr>
          <w:rFonts w:cstheme="minorHAnsi"/>
          <w:sz w:val="20"/>
          <w:szCs w:val="20"/>
        </w:rPr>
        <w:t>approval from the Commonwealth</w:t>
      </w:r>
      <w:r w:rsidR="00F45398" w:rsidRPr="003D2AB7">
        <w:rPr>
          <w:rFonts w:cstheme="minorHAnsi"/>
          <w:sz w:val="20"/>
          <w:szCs w:val="20"/>
        </w:rPr>
        <w:t>.</w:t>
      </w:r>
    </w:p>
    <w:p w14:paraId="134F712C" w14:textId="77777777" w:rsidR="00510322" w:rsidRPr="003D2AB7" w:rsidRDefault="00510322" w:rsidP="000314AA">
      <w:pPr>
        <w:pStyle w:val="Heading2"/>
        <w:keepNext/>
        <w:keepLines/>
        <w:rPr>
          <w:rFonts w:asciiTheme="minorHAnsi" w:hAnsiTheme="minorHAnsi" w:cstheme="minorHAnsi"/>
        </w:rPr>
      </w:pPr>
      <w:bookmarkStart w:id="29" w:name="_Toc532474962"/>
      <w:r w:rsidRPr="003D2AB7">
        <w:rPr>
          <w:rFonts w:asciiTheme="minorHAnsi" w:hAnsiTheme="minorHAnsi" w:cstheme="minorHAnsi"/>
        </w:rPr>
        <w:t>Progress reporting</w:t>
      </w:r>
      <w:bookmarkEnd w:id="29"/>
      <w:r w:rsidRPr="003D2AB7">
        <w:rPr>
          <w:rFonts w:asciiTheme="minorHAnsi" w:hAnsiTheme="minorHAnsi" w:cstheme="minorHAnsi"/>
        </w:rPr>
        <w:t xml:space="preserve">  </w:t>
      </w:r>
    </w:p>
    <w:p w14:paraId="69B5718F" w14:textId="0EF0E24E" w:rsidR="009A2D5F" w:rsidRPr="003D2AB7" w:rsidRDefault="009A2D5F" w:rsidP="003C7C87">
      <w:pPr>
        <w:pStyle w:val="ListParagraph"/>
        <w:spacing w:before="120" w:after="120" w:line="240" w:lineRule="auto"/>
        <w:ind w:left="0"/>
        <w:contextualSpacing w:val="0"/>
        <w:rPr>
          <w:rFonts w:cstheme="minorHAnsi"/>
          <w:sz w:val="20"/>
          <w:szCs w:val="20"/>
        </w:rPr>
      </w:pPr>
      <w:r w:rsidRPr="003D2AB7">
        <w:rPr>
          <w:rFonts w:cstheme="minorHAnsi"/>
          <w:sz w:val="20"/>
          <w:szCs w:val="20"/>
        </w:rPr>
        <w:t xml:space="preserve">During sample testing, KPMG noted that progress reports, in the format outlined in the funding </w:t>
      </w:r>
      <w:r w:rsidR="00DF36CF" w:rsidRPr="003D2AB7">
        <w:rPr>
          <w:rFonts w:cstheme="minorHAnsi"/>
          <w:sz w:val="20"/>
          <w:szCs w:val="20"/>
        </w:rPr>
        <w:t>deed</w:t>
      </w:r>
      <w:r w:rsidRPr="003D2AB7">
        <w:rPr>
          <w:rFonts w:cstheme="minorHAnsi"/>
          <w:sz w:val="20"/>
          <w:szCs w:val="20"/>
        </w:rPr>
        <w:t>, were obtained at intermediate and final pay</w:t>
      </w:r>
      <w:r w:rsidR="00F271A2" w:rsidRPr="003D2AB7">
        <w:rPr>
          <w:rFonts w:cstheme="minorHAnsi"/>
          <w:sz w:val="20"/>
          <w:szCs w:val="20"/>
        </w:rPr>
        <w:t>ment mil</w:t>
      </w:r>
      <w:r w:rsidR="007C07C3" w:rsidRPr="003D2AB7">
        <w:rPr>
          <w:rFonts w:cstheme="minorHAnsi"/>
          <w:sz w:val="20"/>
          <w:szCs w:val="20"/>
        </w:rPr>
        <w:t>e</w:t>
      </w:r>
      <w:r w:rsidR="00F271A2" w:rsidRPr="003D2AB7">
        <w:rPr>
          <w:rFonts w:cstheme="minorHAnsi"/>
          <w:sz w:val="20"/>
          <w:szCs w:val="20"/>
        </w:rPr>
        <w:t xml:space="preserve">stones, however were not consistently provided </w:t>
      </w:r>
      <w:r w:rsidR="00DF36CF" w:rsidRPr="003D2AB7">
        <w:rPr>
          <w:rFonts w:cstheme="minorHAnsi"/>
          <w:sz w:val="20"/>
          <w:szCs w:val="20"/>
        </w:rPr>
        <w:t xml:space="preserve">at </w:t>
      </w:r>
      <w:r w:rsidR="00F271A2" w:rsidRPr="003D2AB7">
        <w:rPr>
          <w:rFonts w:cstheme="minorHAnsi"/>
          <w:sz w:val="20"/>
          <w:szCs w:val="20"/>
        </w:rPr>
        <w:t xml:space="preserve">quarterly </w:t>
      </w:r>
      <w:r w:rsidR="00DF36CF" w:rsidRPr="003D2AB7">
        <w:rPr>
          <w:rFonts w:cstheme="minorHAnsi"/>
          <w:sz w:val="20"/>
          <w:szCs w:val="20"/>
        </w:rPr>
        <w:t>timeframes outlined in the funding deed</w:t>
      </w:r>
      <w:r w:rsidR="00F271A2" w:rsidRPr="003D2AB7">
        <w:rPr>
          <w:rFonts w:cstheme="minorHAnsi"/>
          <w:sz w:val="20"/>
          <w:szCs w:val="20"/>
        </w:rPr>
        <w:t>.</w:t>
      </w:r>
      <w:r w:rsidRPr="003D2AB7">
        <w:rPr>
          <w:rFonts w:cstheme="minorHAnsi"/>
          <w:sz w:val="20"/>
          <w:szCs w:val="20"/>
        </w:rPr>
        <w:t xml:space="preserve"> </w:t>
      </w:r>
    </w:p>
    <w:p w14:paraId="70D26D36" w14:textId="77777777" w:rsidR="00510322" w:rsidRPr="003D2AB7" w:rsidRDefault="00510322" w:rsidP="003C7C87">
      <w:pPr>
        <w:pStyle w:val="ListParagraph"/>
        <w:spacing w:before="120" w:after="120" w:line="240" w:lineRule="auto"/>
        <w:ind w:left="0"/>
        <w:contextualSpacing w:val="0"/>
        <w:rPr>
          <w:rFonts w:cstheme="minorHAnsi"/>
          <w:sz w:val="20"/>
          <w:szCs w:val="20"/>
        </w:rPr>
      </w:pPr>
      <w:r w:rsidRPr="003D2AB7">
        <w:rPr>
          <w:rFonts w:cstheme="minorHAnsi"/>
          <w:sz w:val="20"/>
          <w:szCs w:val="20"/>
        </w:rPr>
        <w:t xml:space="preserve">Discussions with </w:t>
      </w:r>
      <w:r w:rsidR="009A2D5F" w:rsidRPr="003D2AB7">
        <w:rPr>
          <w:rFonts w:cstheme="minorHAnsi"/>
          <w:sz w:val="20"/>
          <w:szCs w:val="20"/>
        </w:rPr>
        <w:t>DPI</w:t>
      </w:r>
      <w:r w:rsidRPr="003D2AB7">
        <w:rPr>
          <w:rFonts w:cstheme="minorHAnsi"/>
          <w:sz w:val="20"/>
          <w:szCs w:val="20"/>
        </w:rPr>
        <w:t xml:space="preserve"> indicated that</w:t>
      </w:r>
      <w:r w:rsidR="009A2D5F" w:rsidRPr="003D2AB7">
        <w:rPr>
          <w:rFonts w:cstheme="minorHAnsi"/>
          <w:sz w:val="20"/>
          <w:szCs w:val="20"/>
        </w:rPr>
        <w:t xml:space="preserve"> while quarterly progress reports were required, </w:t>
      </w:r>
      <w:r w:rsidRPr="003D2AB7">
        <w:rPr>
          <w:rFonts w:cstheme="minorHAnsi"/>
          <w:sz w:val="20"/>
          <w:szCs w:val="20"/>
        </w:rPr>
        <w:t xml:space="preserve">in practice, progress </w:t>
      </w:r>
      <w:r w:rsidR="009A2D5F" w:rsidRPr="003D2AB7">
        <w:rPr>
          <w:rFonts w:cstheme="minorHAnsi"/>
          <w:sz w:val="20"/>
          <w:szCs w:val="20"/>
        </w:rPr>
        <w:t xml:space="preserve">updates were </w:t>
      </w:r>
      <w:r w:rsidR="00F271A2" w:rsidRPr="003D2AB7">
        <w:rPr>
          <w:rFonts w:cstheme="minorHAnsi"/>
          <w:sz w:val="20"/>
          <w:szCs w:val="20"/>
        </w:rPr>
        <w:t xml:space="preserve">also </w:t>
      </w:r>
      <w:r w:rsidR="009A2D5F" w:rsidRPr="003D2AB7">
        <w:rPr>
          <w:rFonts w:cstheme="minorHAnsi"/>
          <w:sz w:val="20"/>
          <w:szCs w:val="20"/>
        </w:rPr>
        <w:t xml:space="preserve">obtained via regular interactions and communications between proponents and project officers. </w:t>
      </w:r>
    </w:p>
    <w:p w14:paraId="53B4B0E5" w14:textId="77777777" w:rsidR="00510322" w:rsidRPr="003D2AB7" w:rsidRDefault="00510322" w:rsidP="00A27428">
      <w:pPr>
        <w:pStyle w:val="ListParagraph"/>
        <w:spacing w:before="120" w:after="120" w:line="240" w:lineRule="auto"/>
        <w:ind w:left="0"/>
        <w:contextualSpacing w:val="0"/>
        <w:rPr>
          <w:rFonts w:cstheme="minorHAnsi"/>
          <w:sz w:val="20"/>
          <w:szCs w:val="20"/>
        </w:rPr>
      </w:pPr>
      <w:r w:rsidRPr="003D2AB7">
        <w:rPr>
          <w:rFonts w:cstheme="minorHAnsi"/>
          <w:sz w:val="20"/>
          <w:szCs w:val="20"/>
        </w:rPr>
        <w:t xml:space="preserve">For future projects </w:t>
      </w:r>
      <w:r w:rsidR="009A2D5F" w:rsidRPr="003D2AB7">
        <w:rPr>
          <w:rFonts w:cstheme="minorHAnsi"/>
          <w:sz w:val="20"/>
          <w:szCs w:val="20"/>
        </w:rPr>
        <w:t>DPI</w:t>
      </w:r>
      <w:r w:rsidRPr="003D2AB7">
        <w:rPr>
          <w:rFonts w:cstheme="minorHAnsi"/>
          <w:sz w:val="20"/>
          <w:szCs w:val="20"/>
        </w:rPr>
        <w:t xml:space="preserve"> should consider</w:t>
      </w:r>
      <w:r w:rsidR="006D4429" w:rsidRPr="003D2AB7">
        <w:rPr>
          <w:rFonts w:cstheme="minorHAnsi"/>
          <w:sz w:val="20"/>
          <w:szCs w:val="20"/>
        </w:rPr>
        <w:t xml:space="preserve"> </w:t>
      </w:r>
      <w:r w:rsidR="008A53F8" w:rsidRPr="003D2AB7">
        <w:rPr>
          <w:rFonts w:cstheme="minorHAnsi"/>
          <w:sz w:val="20"/>
          <w:szCs w:val="20"/>
        </w:rPr>
        <w:t>when</w:t>
      </w:r>
      <w:r w:rsidR="006D4429" w:rsidRPr="003D2AB7">
        <w:rPr>
          <w:rFonts w:cstheme="minorHAnsi"/>
          <w:sz w:val="20"/>
          <w:szCs w:val="20"/>
        </w:rPr>
        <w:t xml:space="preserve"> formal</w:t>
      </w:r>
      <w:r w:rsidRPr="003D2AB7">
        <w:rPr>
          <w:rFonts w:cstheme="minorHAnsi"/>
          <w:sz w:val="20"/>
          <w:szCs w:val="20"/>
        </w:rPr>
        <w:t xml:space="preserve"> </w:t>
      </w:r>
      <w:r w:rsidR="006D4429" w:rsidRPr="003D2AB7">
        <w:rPr>
          <w:rFonts w:cstheme="minorHAnsi"/>
          <w:sz w:val="20"/>
          <w:szCs w:val="20"/>
        </w:rPr>
        <w:t>proponent project progress reporting</w:t>
      </w:r>
      <w:r w:rsidRPr="003D2AB7">
        <w:rPr>
          <w:rFonts w:cstheme="minorHAnsi"/>
          <w:sz w:val="20"/>
          <w:szCs w:val="20"/>
        </w:rPr>
        <w:t xml:space="preserve"> </w:t>
      </w:r>
      <w:r w:rsidR="008A53F8" w:rsidRPr="003D2AB7">
        <w:rPr>
          <w:rFonts w:cstheme="minorHAnsi"/>
          <w:sz w:val="20"/>
          <w:szCs w:val="20"/>
        </w:rPr>
        <w:t>is require</w:t>
      </w:r>
      <w:r w:rsidR="00276030" w:rsidRPr="003D2AB7">
        <w:rPr>
          <w:rFonts w:cstheme="minorHAnsi"/>
          <w:sz w:val="20"/>
          <w:szCs w:val="20"/>
        </w:rPr>
        <w:t>d</w:t>
      </w:r>
      <w:r w:rsidR="008A53F8" w:rsidRPr="003D2AB7">
        <w:rPr>
          <w:rFonts w:cstheme="minorHAnsi"/>
          <w:sz w:val="20"/>
          <w:szCs w:val="20"/>
        </w:rPr>
        <w:t xml:space="preserve">. </w:t>
      </w:r>
      <w:r w:rsidR="009A2D5F" w:rsidRPr="003D2AB7">
        <w:rPr>
          <w:rFonts w:cstheme="minorHAnsi"/>
          <w:sz w:val="20"/>
          <w:szCs w:val="20"/>
        </w:rPr>
        <w:t>DPI</w:t>
      </w:r>
      <w:r w:rsidR="008A53F8" w:rsidRPr="003D2AB7">
        <w:rPr>
          <w:rFonts w:cstheme="minorHAnsi"/>
          <w:sz w:val="20"/>
          <w:szCs w:val="20"/>
        </w:rPr>
        <w:t xml:space="preserve"> should define the circumstances where formal reporting may not</w:t>
      </w:r>
      <w:r w:rsidR="000C2EEA" w:rsidRPr="003D2AB7">
        <w:rPr>
          <w:rFonts w:cstheme="minorHAnsi"/>
          <w:sz w:val="20"/>
          <w:szCs w:val="20"/>
        </w:rPr>
        <w:t xml:space="preserve"> be</w:t>
      </w:r>
      <w:r w:rsidR="008A53F8" w:rsidRPr="003D2AB7">
        <w:rPr>
          <w:rFonts w:cstheme="minorHAnsi"/>
          <w:sz w:val="20"/>
          <w:szCs w:val="20"/>
        </w:rPr>
        <w:t xml:space="preserve"> required and communicate this to stakeholders involved. </w:t>
      </w:r>
    </w:p>
    <w:p w14:paraId="55F319D5" w14:textId="77777777" w:rsidR="003650DE" w:rsidRPr="003D2AB7" w:rsidRDefault="003650DE" w:rsidP="00C95FF7">
      <w:pPr>
        <w:pStyle w:val="Heading2"/>
        <w:keepNext/>
        <w:rPr>
          <w:rFonts w:asciiTheme="minorHAnsi" w:hAnsiTheme="minorHAnsi" w:cstheme="minorHAnsi"/>
        </w:rPr>
      </w:pPr>
      <w:bookmarkStart w:id="30" w:name="_Toc522868881"/>
      <w:bookmarkStart w:id="31" w:name="_Toc522868885"/>
      <w:bookmarkStart w:id="32" w:name="_Toc532474963"/>
      <w:bookmarkEnd w:id="30"/>
      <w:bookmarkEnd w:id="31"/>
      <w:r w:rsidRPr="003D2AB7">
        <w:rPr>
          <w:rFonts w:asciiTheme="minorHAnsi" w:hAnsiTheme="minorHAnsi" w:cstheme="minorHAnsi"/>
        </w:rPr>
        <w:t>Insurance certificates of currency</w:t>
      </w:r>
      <w:bookmarkEnd w:id="32"/>
    </w:p>
    <w:p w14:paraId="6A32D5A5" w14:textId="4A26848E" w:rsidR="003650DE" w:rsidRPr="003D2AB7" w:rsidRDefault="000B2AF6" w:rsidP="003C7C87">
      <w:pPr>
        <w:spacing w:before="120" w:after="120" w:line="240" w:lineRule="auto"/>
        <w:rPr>
          <w:rFonts w:cstheme="minorHAnsi"/>
          <w:sz w:val="20"/>
          <w:szCs w:val="20"/>
        </w:rPr>
      </w:pPr>
      <w:r w:rsidRPr="003D2AB7">
        <w:rPr>
          <w:rFonts w:cstheme="minorHAnsi"/>
          <w:sz w:val="20"/>
          <w:szCs w:val="20"/>
        </w:rPr>
        <w:t>As noted in Section 3.7</w:t>
      </w:r>
      <w:r w:rsidR="00FF455B" w:rsidRPr="003D2AB7">
        <w:rPr>
          <w:rFonts w:cstheme="minorHAnsi"/>
          <w:sz w:val="20"/>
          <w:szCs w:val="20"/>
        </w:rPr>
        <w:t>,</w:t>
      </w:r>
      <w:r w:rsidRPr="003D2AB7">
        <w:rPr>
          <w:rFonts w:cstheme="minorHAnsi"/>
          <w:sz w:val="20"/>
          <w:szCs w:val="20"/>
        </w:rPr>
        <w:t xml:space="preserve"> proponents must </w:t>
      </w:r>
      <w:r w:rsidR="00CA5BD8" w:rsidRPr="003D2AB7">
        <w:rPr>
          <w:rFonts w:cstheme="minorHAnsi"/>
          <w:sz w:val="20"/>
          <w:szCs w:val="20"/>
        </w:rPr>
        <w:t xml:space="preserve">provide evidence of applicable insurance at the </w:t>
      </w:r>
      <w:r w:rsidRPr="003D2AB7">
        <w:rPr>
          <w:rFonts w:cstheme="minorHAnsi"/>
          <w:sz w:val="20"/>
          <w:szCs w:val="20"/>
        </w:rPr>
        <w:t xml:space="preserve">commencement of their agreement (within </w:t>
      </w:r>
      <w:r w:rsidR="00CA5BD8" w:rsidRPr="003D2AB7">
        <w:rPr>
          <w:rFonts w:cstheme="minorHAnsi"/>
          <w:sz w:val="20"/>
          <w:szCs w:val="20"/>
        </w:rPr>
        <w:t>30</w:t>
      </w:r>
      <w:r w:rsidRPr="003D2AB7">
        <w:rPr>
          <w:rFonts w:cstheme="minorHAnsi"/>
          <w:sz w:val="20"/>
          <w:szCs w:val="20"/>
        </w:rPr>
        <w:t xml:space="preserve"> days of signing) as well as evidence of policy renewal before its anniversary. </w:t>
      </w:r>
      <w:r w:rsidR="003650DE" w:rsidRPr="003D2AB7">
        <w:rPr>
          <w:rFonts w:cstheme="minorHAnsi"/>
          <w:sz w:val="20"/>
          <w:szCs w:val="20"/>
        </w:rPr>
        <w:t>During sample testing KPMG identified</w:t>
      </w:r>
      <w:r w:rsidR="00CA5BD8" w:rsidRPr="003D2AB7">
        <w:rPr>
          <w:rFonts w:cstheme="minorHAnsi"/>
          <w:sz w:val="20"/>
          <w:szCs w:val="20"/>
        </w:rPr>
        <w:t xml:space="preserve"> that while evidence of insurance was sighted by DPI during project implementation meetings, ongoing review of COC’s was not regularly conducted / documented</w:t>
      </w:r>
      <w:r w:rsidR="00BE4870" w:rsidRPr="003D2AB7">
        <w:rPr>
          <w:rFonts w:cstheme="minorHAnsi"/>
          <w:sz w:val="20"/>
          <w:szCs w:val="20"/>
        </w:rPr>
        <w:t xml:space="preserve"> in accordance with documented DPI procedures</w:t>
      </w:r>
      <w:r w:rsidR="00CA5BD8" w:rsidRPr="003D2AB7">
        <w:rPr>
          <w:rFonts w:cstheme="minorHAnsi"/>
          <w:sz w:val="20"/>
          <w:szCs w:val="20"/>
        </w:rPr>
        <w:t xml:space="preserve">. </w:t>
      </w:r>
      <w:r w:rsidR="00026456" w:rsidRPr="003D2AB7">
        <w:rPr>
          <w:rFonts w:cstheme="minorHAnsi"/>
          <w:sz w:val="20"/>
          <w:szCs w:val="20"/>
        </w:rPr>
        <w:t xml:space="preserve"> </w:t>
      </w:r>
    </w:p>
    <w:p w14:paraId="3B3B0FE8" w14:textId="77777777" w:rsidR="00186640" w:rsidRPr="003D2AB7" w:rsidRDefault="000B2AF6" w:rsidP="003C7C87">
      <w:pPr>
        <w:spacing w:before="120" w:after="120" w:line="240" w:lineRule="auto"/>
        <w:rPr>
          <w:rFonts w:cstheme="minorHAnsi"/>
          <w:sz w:val="20"/>
          <w:szCs w:val="20"/>
        </w:rPr>
      </w:pPr>
      <w:r w:rsidRPr="003D2AB7">
        <w:rPr>
          <w:rFonts w:cstheme="minorHAnsi"/>
          <w:sz w:val="20"/>
          <w:szCs w:val="20"/>
        </w:rPr>
        <w:t>Noting that the onus to maintain the appropriate insurances remains with the proponent</w:t>
      </w:r>
      <w:r w:rsidR="00026456" w:rsidRPr="003D2AB7">
        <w:rPr>
          <w:rFonts w:cstheme="minorHAnsi"/>
          <w:sz w:val="20"/>
          <w:szCs w:val="20"/>
        </w:rPr>
        <w:t xml:space="preserve"> as well as the substantive risk of project failure</w:t>
      </w:r>
      <w:r w:rsidRPr="003D2AB7">
        <w:rPr>
          <w:rFonts w:cstheme="minorHAnsi"/>
          <w:sz w:val="20"/>
          <w:szCs w:val="20"/>
        </w:rPr>
        <w:t>, f</w:t>
      </w:r>
      <w:r w:rsidR="003650DE" w:rsidRPr="003D2AB7">
        <w:rPr>
          <w:rFonts w:cstheme="minorHAnsi"/>
          <w:sz w:val="20"/>
          <w:szCs w:val="20"/>
        </w:rPr>
        <w:t xml:space="preserve">or projects </w:t>
      </w:r>
      <w:r w:rsidR="00CA5BD8" w:rsidRPr="003D2AB7">
        <w:rPr>
          <w:rFonts w:cstheme="minorHAnsi"/>
          <w:sz w:val="20"/>
          <w:szCs w:val="20"/>
        </w:rPr>
        <w:t>DPI</w:t>
      </w:r>
      <w:r w:rsidR="003650DE" w:rsidRPr="003D2AB7">
        <w:rPr>
          <w:rFonts w:cstheme="minorHAnsi"/>
          <w:sz w:val="20"/>
          <w:szCs w:val="20"/>
        </w:rPr>
        <w:t xml:space="preserve"> should consider whether it is necessary to include the contractual obligation for COCs </w:t>
      </w:r>
      <w:r w:rsidRPr="003D2AB7">
        <w:rPr>
          <w:rFonts w:cstheme="minorHAnsi"/>
          <w:sz w:val="20"/>
          <w:szCs w:val="20"/>
        </w:rPr>
        <w:t xml:space="preserve">renewals </w:t>
      </w:r>
      <w:r w:rsidR="003650DE" w:rsidRPr="003D2AB7">
        <w:rPr>
          <w:rFonts w:cstheme="minorHAnsi"/>
          <w:sz w:val="20"/>
          <w:szCs w:val="20"/>
        </w:rPr>
        <w:t xml:space="preserve">to be provided to </w:t>
      </w:r>
      <w:r w:rsidR="007C07C3" w:rsidRPr="003D2AB7">
        <w:rPr>
          <w:rFonts w:cstheme="minorHAnsi"/>
          <w:sz w:val="20"/>
          <w:szCs w:val="20"/>
        </w:rPr>
        <w:t>DPI</w:t>
      </w:r>
      <w:r w:rsidR="00C95FF7" w:rsidRPr="003D2AB7">
        <w:rPr>
          <w:rFonts w:cstheme="minorHAnsi"/>
          <w:sz w:val="20"/>
          <w:szCs w:val="20"/>
        </w:rPr>
        <w:t xml:space="preserve">. </w:t>
      </w:r>
      <w:r w:rsidRPr="003D2AB7">
        <w:rPr>
          <w:rFonts w:cstheme="minorHAnsi"/>
          <w:sz w:val="20"/>
          <w:szCs w:val="20"/>
        </w:rPr>
        <w:t xml:space="preserve">If deemed necessary, </w:t>
      </w:r>
      <w:r w:rsidR="00CA5BD8" w:rsidRPr="003D2AB7">
        <w:rPr>
          <w:rFonts w:cstheme="minorHAnsi"/>
          <w:sz w:val="20"/>
          <w:szCs w:val="20"/>
        </w:rPr>
        <w:t>DPI</w:t>
      </w:r>
      <w:r w:rsidRPr="003D2AB7">
        <w:rPr>
          <w:rFonts w:cstheme="minorHAnsi"/>
          <w:sz w:val="20"/>
          <w:szCs w:val="20"/>
        </w:rPr>
        <w:t xml:space="preserve"> should ensure supporting review processes are in place and operating as intended. </w:t>
      </w:r>
    </w:p>
    <w:p w14:paraId="63DDFF83" w14:textId="77777777" w:rsidR="00016BE6" w:rsidRPr="003D2AB7" w:rsidRDefault="00016BE6" w:rsidP="00871FD3">
      <w:pPr>
        <w:spacing w:before="120" w:after="120" w:line="240" w:lineRule="auto"/>
        <w:rPr>
          <w:rFonts w:cstheme="minorHAnsi"/>
          <w:sz w:val="20"/>
          <w:szCs w:val="20"/>
          <w:highlight w:val="yellow"/>
        </w:rPr>
        <w:sectPr w:rsidR="00016BE6" w:rsidRPr="003D2AB7" w:rsidSect="00026456">
          <w:headerReference w:type="default" r:id="rId12"/>
          <w:pgSz w:w="11906" w:h="16838"/>
          <w:pgMar w:top="1560" w:right="851" w:bottom="1843" w:left="1134" w:header="568" w:footer="315" w:gutter="0"/>
          <w:cols w:space="425"/>
          <w:docGrid w:linePitch="360"/>
        </w:sectPr>
      </w:pPr>
    </w:p>
    <w:p w14:paraId="56A02253" w14:textId="77777777" w:rsidR="00145FB8" w:rsidRPr="003D2AB7" w:rsidRDefault="00906E43" w:rsidP="00597060">
      <w:pPr>
        <w:pStyle w:val="Heading1"/>
        <w:numPr>
          <w:ilvl w:val="0"/>
          <w:numId w:val="0"/>
        </w:numPr>
        <w:ind w:left="567" w:hanging="567"/>
        <w:rPr>
          <w:rFonts w:asciiTheme="minorHAnsi" w:hAnsiTheme="minorHAnsi" w:cstheme="minorHAnsi"/>
          <w:sz w:val="72"/>
        </w:rPr>
      </w:pPr>
      <w:bookmarkStart w:id="33" w:name="_Toc515451817"/>
      <w:bookmarkStart w:id="34" w:name="_Toc532474964"/>
      <w:r w:rsidRPr="003D2AB7">
        <w:rPr>
          <w:rFonts w:asciiTheme="minorHAnsi" w:hAnsiTheme="minorHAnsi" w:cstheme="minorHAnsi"/>
          <w:sz w:val="72"/>
        </w:rPr>
        <w:t>Appendices</w:t>
      </w:r>
      <w:bookmarkEnd w:id="33"/>
      <w:bookmarkEnd w:id="34"/>
    </w:p>
    <w:p w14:paraId="5851ACE8" w14:textId="77777777" w:rsidR="00681BCC" w:rsidRPr="003D2AB7" w:rsidRDefault="003B33AA" w:rsidP="00597060">
      <w:pPr>
        <w:pStyle w:val="Heading2"/>
        <w:numPr>
          <w:ilvl w:val="0"/>
          <w:numId w:val="2"/>
        </w:numPr>
        <w:ind w:left="426" w:hanging="426"/>
        <w:rPr>
          <w:rFonts w:asciiTheme="minorHAnsi" w:hAnsiTheme="minorHAnsi" w:cstheme="minorHAnsi"/>
        </w:rPr>
      </w:pPr>
      <w:bookmarkStart w:id="35" w:name="_Toc515451819"/>
      <w:bookmarkStart w:id="36" w:name="_Toc532474965"/>
      <w:r w:rsidRPr="003D2AB7">
        <w:rPr>
          <w:rFonts w:asciiTheme="minorHAnsi" w:hAnsiTheme="minorHAnsi" w:cstheme="minorHAnsi"/>
        </w:rPr>
        <w:t>Engagement objectives and s</w:t>
      </w:r>
      <w:r w:rsidR="00681BCC" w:rsidRPr="003D2AB7">
        <w:rPr>
          <w:rFonts w:asciiTheme="minorHAnsi" w:hAnsiTheme="minorHAnsi" w:cstheme="minorHAnsi"/>
        </w:rPr>
        <w:t>cope</w:t>
      </w:r>
      <w:bookmarkEnd w:id="35"/>
      <w:bookmarkEnd w:id="36"/>
    </w:p>
    <w:p w14:paraId="5063298E" w14:textId="77777777" w:rsidR="00681BCC" w:rsidRPr="003D2AB7" w:rsidRDefault="00681BCC" w:rsidP="00596C1C">
      <w:pPr>
        <w:spacing w:before="120" w:after="120"/>
        <w:rPr>
          <w:rFonts w:cstheme="minorHAnsi"/>
          <w:b/>
          <w:sz w:val="20"/>
          <w:szCs w:val="20"/>
        </w:rPr>
      </w:pPr>
      <w:r w:rsidRPr="003D2AB7">
        <w:rPr>
          <w:rFonts w:cstheme="minorHAnsi"/>
          <w:b/>
          <w:sz w:val="20"/>
          <w:szCs w:val="20"/>
        </w:rPr>
        <w:t>Objectives</w:t>
      </w:r>
    </w:p>
    <w:p w14:paraId="073E0E4C" w14:textId="77777777" w:rsidR="00C67FC8" w:rsidRPr="003D2AB7" w:rsidRDefault="00C67FC8" w:rsidP="00A27428">
      <w:pPr>
        <w:spacing w:before="120" w:after="120" w:line="240" w:lineRule="auto"/>
        <w:rPr>
          <w:rFonts w:cstheme="minorHAnsi"/>
          <w:sz w:val="20"/>
          <w:szCs w:val="20"/>
        </w:rPr>
      </w:pPr>
      <w:r w:rsidRPr="003D2AB7">
        <w:rPr>
          <w:rFonts w:cstheme="minorHAnsi"/>
          <w:sz w:val="20"/>
          <w:szCs w:val="20"/>
        </w:rPr>
        <w:t>Review the governance, risk and control processes for State Priority Projects administered through Sustainable Rural Water Use and Infrastructure Program to ensure effective use of Commonwealth funds.</w:t>
      </w:r>
    </w:p>
    <w:p w14:paraId="72B727B0" w14:textId="77777777" w:rsidR="00681BCC" w:rsidRPr="003D2AB7" w:rsidRDefault="00681BCC" w:rsidP="00596C1C">
      <w:pPr>
        <w:spacing w:before="120" w:after="120"/>
        <w:rPr>
          <w:rFonts w:cstheme="minorHAnsi"/>
          <w:b/>
          <w:sz w:val="20"/>
          <w:szCs w:val="20"/>
        </w:rPr>
      </w:pPr>
      <w:r w:rsidRPr="003D2AB7">
        <w:rPr>
          <w:rFonts w:cstheme="minorHAnsi"/>
          <w:b/>
          <w:sz w:val="20"/>
          <w:szCs w:val="20"/>
        </w:rPr>
        <w:t>Scope</w:t>
      </w:r>
    </w:p>
    <w:p w14:paraId="777A7FF9" w14:textId="77777777" w:rsidR="00C67FC8" w:rsidRPr="003D2AB7" w:rsidRDefault="00C67FC8" w:rsidP="00A27428">
      <w:pPr>
        <w:spacing w:before="120" w:after="120" w:line="240" w:lineRule="auto"/>
        <w:rPr>
          <w:rFonts w:cstheme="minorHAnsi"/>
          <w:sz w:val="20"/>
          <w:szCs w:val="20"/>
        </w:rPr>
      </w:pPr>
      <w:r w:rsidRPr="003D2AB7">
        <w:rPr>
          <w:rFonts w:cstheme="minorHAnsi"/>
          <w:sz w:val="20"/>
          <w:szCs w:val="20"/>
        </w:rPr>
        <w:t xml:space="preserve">This engagement was limited to the </w:t>
      </w:r>
      <w:r w:rsidR="00903CA1" w:rsidRPr="003D2AB7">
        <w:rPr>
          <w:rFonts w:cstheme="minorHAnsi"/>
          <w:sz w:val="20"/>
          <w:szCs w:val="20"/>
        </w:rPr>
        <w:t xml:space="preserve">Queensland </w:t>
      </w:r>
      <w:r w:rsidR="00C801FF" w:rsidRPr="003D2AB7">
        <w:rPr>
          <w:rFonts w:cstheme="minorHAnsi"/>
          <w:sz w:val="20"/>
          <w:szCs w:val="20"/>
        </w:rPr>
        <w:t>Healthy HeadWaters Water Use Efficiency Project</w:t>
      </w:r>
      <w:r w:rsidRPr="003D2AB7">
        <w:rPr>
          <w:rFonts w:cstheme="minorHAnsi"/>
          <w:sz w:val="20"/>
          <w:szCs w:val="20"/>
        </w:rPr>
        <w:t xml:space="preserve">, New South Wales Basin Pipe Project and New South Wales </w:t>
      </w:r>
      <w:r w:rsidR="00C801FF" w:rsidRPr="003D2AB7">
        <w:rPr>
          <w:rFonts w:cstheme="minorHAnsi"/>
          <w:sz w:val="20"/>
          <w:szCs w:val="20"/>
        </w:rPr>
        <w:t>IFM Project</w:t>
      </w:r>
      <w:r w:rsidRPr="003D2AB7">
        <w:rPr>
          <w:rFonts w:cstheme="minorHAnsi"/>
          <w:sz w:val="20"/>
          <w:szCs w:val="20"/>
        </w:rPr>
        <w:t>. The assessment focus</w:t>
      </w:r>
      <w:r w:rsidR="00C801FF" w:rsidRPr="003D2AB7">
        <w:rPr>
          <w:rFonts w:cstheme="minorHAnsi"/>
          <w:sz w:val="20"/>
          <w:szCs w:val="20"/>
        </w:rPr>
        <w:t>ed</w:t>
      </w:r>
      <w:r w:rsidRPr="003D2AB7">
        <w:rPr>
          <w:rFonts w:cstheme="minorHAnsi"/>
          <w:sz w:val="20"/>
          <w:szCs w:val="20"/>
        </w:rPr>
        <w:t xml:space="preserve"> on the following areas:  </w:t>
      </w:r>
    </w:p>
    <w:p w14:paraId="318C692C" w14:textId="77777777" w:rsidR="005B56A2" w:rsidRPr="003D2AB7" w:rsidRDefault="005B56A2" w:rsidP="00251635">
      <w:pPr>
        <w:pStyle w:val="ListParagraph"/>
        <w:numPr>
          <w:ilvl w:val="0"/>
          <w:numId w:val="3"/>
        </w:numPr>
        <w:spacing w:before="120" w:after="120" w:line="240" w:lineRule="auto"/>
        <w:rPr>
          <w:rFonts w:cstheme="minorHAnsi"/>
          <w:sz w:val="20"/>
          <w:szCs w:val="20"/>
        </w:rPr>
      </w:pPr>
      <w:r w:rsidRPr="003D2AB7">
        <w:rPr>
          <w:rFonts w:cstheme="minorHAnsi"/>
          <w:b/>
          <w:bCs/>
          <w:sz w:val="20"/>
          <w:szCs w:val="20"/>
        </w:rPr>
        <w:t>Program administration processes</w:t>
      </w:r>
      <w:r w:rsidRPr="003D2AB7">
        <w:rPr>
          <w:rFonts w:cstheme="minorHAnsi"/>
          <w:sz w:val="20"/>
          <w:szCs w:val="20"/>
        </w:rPr>
        <w:t>, including financial systems, governance arrangements, and risk management processes to ensure they are efficiently and consistently implemented.</w:t>
      </w:r>
    </w:p>
    <w:p w14:paraId="72AB7E3F" w14:textId="77777777" w:rsidR="005B56A2" w:rsidRPr="003D2AB7" w:rsidRDefault="005B56A2" w:rsidP="00251635">
      <w:pPr>
        <w:pStyle w:val="ListParagraph"/>
        <w:numPr>
          <w:ilvl w:val="0"/>
          <w:numId w:val="3"/>
        </w:numPr>
        <w:spacing w:before="120" w:after="120" w:line="240" w:lineRule="auto"/>
        <w:rPr>
          <w:rFonts w:cstheme="minorHAnsi"/>
          <w:sz w:val="20"/>
          <w:szCs w:val="20"/>
        </w:rPr>
      </w:pPr>
      <w:r w:rsidRPr="003D2AB7">
        <w:rPr>
          <w:rFonts w:cstheme="minorHAnsi"/>
          <w:b/>
          <w:bCs/>
          <w:sz w:val="20"/>
          <w:szCs w:val="20"/>
        </w:rPr>
        <w:t xml:space="preserve">Program processes </w:t>
      </w:r>
      <w:r w:rsidRPr="003D2AB7">
        <w:rPr>
          <w:rFonts w:cstheme="minorHAnsi"/>
          <w:sz w:val="20"/>
          <w:szCs w:val="20"/>
        </w:rPr>
        <w:t>in place to manage risks, and program compliance to ensure delivery of water contracted for recovery (including consideration of State involvement in the water entitlement transfer process), and the adequacy of controls to regularly review procedures and adjust as required.</w:t>
      </w:r>
    </w:p>
    <w:p w14:paraId="381718BE" w14:textId="77777777" w:rsidR="005B56A2" w:rsidRPr="003D2AB7" w:rsidRDefault="005B56A2" w:rsidP="00251635">
      <w:pPr>
        <w:pStyle w:val="ListParagraph"/>
        <w:numPr>
          <w:ilvl w:val="0"/>
          <w:numId w:val="3"/>
        </w:numPr>
        <w:spacing w:before="120" w:after="120" w:line="240" w:lineRule="auto"/>
        <w:rPr>
          <w:rFonts w:cstheme="minorHAnsi"/>
          <w:sz w:val="20"/>
          <w:szCs w:val="20"/>
        </w:rPr>
      </w:pPr>
      <w:r w:rsidRPr="003D2AB7">
        <w:rPr>
          <w:rFonts w:cstheme="minorHAnsi"/>
          <w:b/>
          <w:bCs/>
          <w:sz w:val="20"/>
          <w:szCs w:val="20"/>
        </w:rPr>
        <w:t xml:space="preserve">A review of up to 25 per cent of projects </w:t>
      </w:r>
      <w:r w:rsidRPr="003D2AB7">
        <w:rPr>
          <w:rFonts w:cstheme="minorHAnsi"/>
          <w:sz w:val="20"/>
          <w:szCs w:val="20"/>
        </w:rPr>
        <w:t>to verify that the requirements stated under the respective Project Schedules and Works Agreements have been met. Sampling methodology for selecting these projects consider</w:t>
      </w:r>
      <w:r w:rsidR="00C67FC8" w:rsidRPr="003D2AB7">
        <w:rPr>
          <w:rFonts w:cstheme="minorHAnsi"/>
          <w:sz w:val="20"/>
          <w:szCs w:val="20"/>
        </w:rPr>
        <w:t>ed</w:t>
      </w:r>
      <w:r w:rsidRPr="003D2AB7">
        <w:rPr>
          <w:rFonts w:cstheme="minorHAnsi"/>
          <w:sz w:val="20"/>
          <w:szCs w:val="20"/>
        </w:rPr>
        <w:t xml:space="preserve"> funding rounds and catchment areas, as well as individual project size and scale. A random sample from the selected projects </w:t>
      </w:r>
      <w:r w:rsidR="00C67FC8" w:rsidRPr="003D2AB7">
        <w:rPr>
          <w:rFonts w:cstheme="minorHAnsi"/>
          <w:sz w:val="20"/>
          <w:szCs w:val="20"/>
        </w:rPr>
        <w:t>was</w:t>
      </w:r>
      <w:r w:rsidRPr="003D2AB7">
        <w:rPr>
          <w:rFonts w:cstheme="minorHAnsi"/>
          <w:sz w:val="20"/>
          <w:szCs w:val="20"/>
        </w:rPr>
        <w:t xml:space="preserve"> also be verified on-ground.</w:t>
      </w:r>
    </w:p>
    <w:p w14:paraId="691D138D" w14:textId="77777777" w:rsidR="00C67FC8" w:rsidRPr="003D2AB7" w:rsidRDefault="00C67FC8" w:rsidP="00A27428">
      <w:pPr>
        <w:spacing w:before="120" w:after="120" w:line="240" w:lineRule="auto"/>
        <w:rPr>
          <w:rFonts w:cstheme="minorHAnsi"/>
          <w:sz w:val="20"/>
          <w:szCs w:val="20"/>
        </w:rPr>
      </w:pPr>
      <w:r w:rsidRPr="003D2AB7">
        <w:rPr>
          <w:rFonts w:cstheme="minorHAnsi"/>
          <w:sz w:val="20"/>
          <w:szCs w:val="20"/>
        </w:rPr>
        <w:t>This review did not include a detailed technical assessment of the quality and effectiveness of water infrastructure works. It provides an assessment of progress of works against reported outcomes and verification of the engineer's reports against on-ground works.</w:t>
      </w:r>
    </w:p>
    <w:p w14:paraId="1B8402F5" w14:textId="77777777" w:rsidR="00C801FF" w:rsidRPr="003D2AB7" w:rsidRDefault="00C801FF">
      <w:pPr>
        <w:spacing w:before="120" w:after="120" w:line="240" w:lineRule="auto"/>
        <w:rPr>
          <w:rFonts w:cstheme="minorHAnsi"/>
          <w:sz w:val="20"/>
          <w:szCs w:val="20"/>
        </w:rPr>
      </w:pPr>
      <w:r w:rsidRPr="003D2AB7">
        <w:rPr>
          <w:rFonts w:cstheme="minorHAnsi"/>
          <w:sz w:val="20"/>
          <w:szCs w:val="20"/>
        </w:rPr>
        <w:t>The scope of this report is limited to the New South Wales IFM Project.</w:t>
      </w:r>
    </w:p>
    <w:p w14:paraId="327238B6" w14:textId="77777777" w:rsidR="00681BCC" w:rsidRPr="003D2AB7" w:rsidRDefault="00596C1C">
      <w:pPr>
        <w:spacing w:before="120" w:after="120" w:line="240" w:lineRule="auto"/>
        <w:rPr>
          <w:rFonts w:cstheme="minorHAnsi"/>
          <w:sz w:val="20"/>
          <w:szCs w:val="20"/>
        </w:rPr>
      </w:pPr>
      <w:r w:rsidRPr="003D2AB7">
        <w:rPr>
          <w:rFonts w:cstheme="minorHAnsi"/>
          <w:sz w:val="20"/>
          <w:szCs w:val="20"/>
        </w:rPr>
        <w:t>*</w:t>
      </w:r>
      <w:r w:rsidR="00C67FC8" w:rsidRPr="003D2AB7">
        <w:rPr>
          <w:rFonts w:cstheme="minorHAnsi"/>
          <w:sz w:val="20"/>
          <w:szCs w:val="20"/>
        </w:rPr>
        <w:t xml:space="preserve">Please refer to the </w:t>
      </w:r>
      <w:r w:rsidR="00C67FC8" w:rsidRPr="003D2AB7">
        <w:rPr>
          <w:rFonts w:cstheme="minorHAnsi"/>
          <w:i/>
          <w:iCs/>
          <w:sz w:val="20"/>
          <w:szCs w:val="20"/>
        </w:rPr>
        <w:t xml:space="preserve">Statement of Works including Terms of Reference, </w:t>
      </w:r>
      <w:r w:rsidR="00C67FC8" w:rsidRPr="003D2AB7">
        <w:rPr>
          <w:rFonts w:cstheme="minorHAnsi"/>
          <w:sz w:val="20"/>
          <w:szCs w:val="20"/>
        </w:rPr>
        <w:t>for further detail on the scope of work.</w:t>
      </w:r>
    </w:p>
    <w:p w14:paraId="62F67170" w14:textId="77777777" w:rsidR="00E05CAD" w:rsidRPr="003D2AB7" w:rsidRDefault="00E05CAD" w:rsidP="00597060">
      <w:pPr>
        <w:pStyle w:val="Heading2"/>
        <w:pageBreakBefore/>
        <w:numPr>
          <w:ilvl w:val="0"/>
          <w:numId w:val="2"/>
        </w:numPr>
        <w:ind w:left="425" w:hanging="425"/>
        <w:rPr>
          <w:rFonts w:asciiTheme="minorHAnsi" w:hAnsiTheme="minorHAnsi" w:cstheme="minorHAnsi"/>
        </w:rPr>
      </w:pPr>
      <w:bookmarkStart w:id="37" w:name="_Toc532474966"/>
      <w:r w:rsidRPr="003D2AB7">
        <w:rPr>
          <w:rFonts w:asciiTheme="minorHAnsi" w:hAnsiTheme="minorHAnsi" w:cstheme="minorHAnsi"/>
        </w:rPr>
        <w:t>Approach</w:t>
      </w:r>
      <w:bookmarkEnd w:id="37"/>
    </w:p>
    <w:p w14:paraId="236AAEEE" w14:textId="77777777" w:rsidR="00E05CAD" w:rsidRPr="003D2AB7" w:rsidRDefault="00E05CAD" w:rsidP="00F74EDA">
      <w:pPr>
        <w:spacing w:before="120" w:after="120" w:line="240" w:lineRule="auto"/>
        <w:rPr>
          <w:rFonts w:cstheme="minorHAnsi"/>
          <w:sz w:val="20"/>
          <w:szCs w:val="20"/>
        </w:rPr>
      </w:pPr>
      <w:r w:rsidRPr="003D2AB7">
        <w:rPr>
          <w:rFonts w:cstheme="minorHAnsi"/>
          <w:sz w:val="20"/>
          <w:szCs w:val="20"/>
        </w:rPr>
        <w:t>KPMG undertook the following activities in the conduct of this review.</w:t>
      </w:r>
    </w:p>
    <w:p w14:paraId="4EC5A0C0" w14:textId="77777777" w:rsidR="00E05CAD" w:rsidRPr="003D2AB7" w:rsidRDefault="00E05CAD" w:rsidP="0044489D">
      <w:pPr>
        <w:spacing w:before="120" w:after="120" w:line="240" w:lineRule="auto"/>
        <w:rPr>
          <w:rFonts w:cstheme="minorHAnsi"/>
          <w:b/>
          <w:sz w:val="20"/>
          <w:szCs w:val="20"/>
        </w:rPr>
      </w:pPr>
      <w:r w:rsidRPr="003D2AB7">
        <w:rPr>
          <w:rFonts w:cstheme="minorHAnsi"/>
          <w:b/>
          <w:sz w:val="20"/>
          <w:szCs w:val="20"/>
        </w:rPr>
        <w:t>Initiation</w:t>
      </w:r>
    </w:p>
    <w:p w14:paraId="0EB4B9BF" w14:textId="77777777" w:rsidR="00E05CAD" w:rsidRPr="003D2AB7" w:rsidRDefault="00E05CAD" w:rsidP="00251635">
      <w:pPr>
        <w:pStyle w:val="ListParagraph"/>
        <w:numPr>
          <w:ilvl w:val="0"/>
          <w:numId w:val="4"/>
        </w:numPr>
        <w:spacing w:before="60" w:after="60" w:line="240" w:lineRule="auto"/>
        <w:ind w:left="357" w:hanging="357"/>
        <w:contextualSpacing w:val="0"/>
        <w:rPr>
          <w:rFonts w:cstheme="minorHAnsi"/>
          <w:sz w:val="20"/>
          <w:szCs w:val="20"/>
        </w:rPr>
      </w:pPr>
      <w:r w:rsidRPr="003D2AB7">
        <w:rPr>
          <w:rFonts w:cstheme="minorHAnsi"/>
          <w:sz w:val="20"/>
          <w:szCs w:val="20"/>
        </w:rPr>
        <w:t xml:space="preserve">Held an initial scoping and meeting with the DAWR stakeholders, to inform the development of a project plan detailing approach, timeframes and governance arrangements for the review. </w:t>
      </w:r>
    </w:p>
    <w:p w14:paraId="46469F9D" w14:textId="77777777" w:rsidR="00E05CAD" w:rsidRPr="003D2AB7" w:rsidRDefault="00C00556"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 xml:space="preserve">Provided the project plan to </w:t>
      </w:r>
      <w:r w:rsidR="006177BC" w:rsidRPr="003D2AB7">
        <w:rPr>
          <w:rFonts w:cstheme="minorHAnsi"/>
          <w:sz w:val="20"/>
          <w:szCs w:val="20"/>
        </w:rPr>
        <w:t>IFM</w:t>
      </w:r>
      <w:r w:rsidRPr="003D2AB7">
        <w:rPr>
          <w:rFonts w:cstheme="minorHAnsi"/>
          <w:sz w:val="20"/>
          <w:szCs w:val="20"/>
        </w:rPr>
        <w:t xml:space="preserve"> project stakeholders review.</w:t>
      </w:r>
    </w:p>
    <w:p w14:paraId="1E6631F7" w14:textId="77777777" w:rsidR="00C00556" w:rsidRPr="003D2AB7" w:rsidRDefault="00C00556" w:rsidP="0044489D">
      <w:pPr>
        <w:spacing w:before="120" w:after="120" w:line="240" w:lineRule="auto"/>
        <w:rPr>
          <w:rFonts w:cstheme="minorHAnsi"/>
          <w:b/>
          <w:sz w:val="20"/>
          <w:szCs w:val="20"/>
        </w:rPr>
      </w:pPr>
      <w:r w:rsidRPr="003D2AB7">
        <w:rPr>
          <w:rFonts w:cstheme="minorHAnsi"/>
          <w:b/>
          <w:sz w:val="20"/>
          <w:szCs w:val="20"/>
        </w:rPr>
        <w:t>Fieldwork</w:t>
      </w:r>
    </w:p>
    <w:p w14:paraId="519781BC" w14:textId="77777777" w:rsidR="00C00556" w:rsidRPr="003D2AB7" w:rsidRDefault="00C00556"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 xml:space="preserve">Held an introductory discussion with </w:t>
      </w:r>
      <w:r w:rsidR="006177BC" w:rsidRPr="003D2AB7">
        <w:rPr>
          <w:rFonts w:cstheme="minorHAnsi"/>
          <w:sz w:val="20"/>
          <w:szCs w:val="20"/>
        </w:rPr>
        <w:t>DPI</w:t>
      </w:r>
      <w:r w:rsidR="00A757B6" w:rsidRPr="003D2AB7">
        <w:rPr>
          <w:rFonts w:cstheme="minorHAnsi"/>
          <w:sz w:val="20"/>
          <w:szCs w:val="20"/>
        </w:rPr>
        <w:t xml:space="preserve"> </w:t>
      </w:r>
      <w:r w:rsidRPr="003D2AB7">
        <w:rPr>
          <w:rFonts w:cstheme="minorHAnsi"/>
          <w:sz w:val="20"/>
          <w:szCs w:val="20"/>
        </w:rPr>
        <w:t>staff and obtained documentation to gain an understanding of administration arrangements, eligibility criteria, funding conditions and requirements, reporting arrangements, performance monitoring and risk management.</w:t>
      </w:r>
    </w:p>
    <w:p w14:paraId="3C58DB32" w14:textId="77777777" w:rsidR="00C00556" w:rsidRPr="003D2AB7" w:rsidRDefault="00C00556"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Developed a</w:t>
      </w:r>
      <w:r w:rsidR="00DA5730" w:rsidRPr="003D2AB7">
        <w:rPr>
          <w:rFonts w:cstheme="minorHAnsi"/>
          <w:sz w:val="20"/>
          <w:szCs w:val="20"/>
        </w:rPr>
        <w:t xml:space="preserve"> testing</w:t>
      </w:r>
      <w:r w:rsidRPr="003D2AB7">
        <w:rPr>
          <w:rFonts w:cstheme="minorHAnsi"/>
          <w:sz w:val="20"/>
          <w:szCs w:val="20"/>
        </w:rPr>
        <w:t xml:space="preserve"> checklists </w:t>
      </w:r>
      <w:r w:rsidR="006177BC" w:rsidRPr="003D2AB7">
        <w:rPr>
          <w:rFonts w:cstheme="minorHAnsi"/>
          <w:sz w:val="20"/>
          <w:szCs w:val="20"/>
        </w:rPr>
        <w:t>to support assessment of the IFM</w:t>
      </w:r>
      <w:r w:rsidR="00DA5730" w:rsidRPr="003D2AB7">
        <w:rPr>
          <w:rFonts w:cstheme="minorHAnsi"/>
          <w:sz w:val="20"/>
          <w:szCs w:val="20"/>
        </w:rPr>
        <w:t xml:space="preserve"> project. The checklist was based on </w:t>
      </w:r>
      <w:r w:rsidRPr="003D2AB7">
        <w:rPr>
          <w:rFonts w:cstheme="minorHAnsi"/>
          <w:sz w:val="20"/>
          <w:szCs w:val="20"/>
        </w:rPr>
        <w:t xml:space="preserve">better practice program management principles </w:t>
      </w:r>
      <w:r w:rsidR="00DA5730" w:rsidRPr="003D2AB7">
        <w:rPr>
          <w:rFonts w:cstheme="minorHAnsi"/>
          <w:sz w:val="20"/>
          <w:szCs w:val="20"/>
        </w:rPr>
        <w:t xml:space="preserve">and key program requirements, including the WMPA, project application guidelines and proponent </w:t>
      </w:r>
      <w:r w:rsidR="0036551D" w:rsidRPr="003D2AB7">
        <w:rPr>
          <w:rFonts w:cstheme="minorHAnsi"/>
          <w:sz w:val="20"/>
          <w:szCs w:val="20"/>
        </w:rPr>
        <w:t xml:space="preserve">funding </w:t>
      </w:r>
      <w:r w:rsidR="00DA5730" w:rsidRPr="003D2AB7">
        <w:rPr>
          <w:rFonts w:cstheme="minorHAnsi"/>
          <w:sz w:val="20"/>
          <w:szCs w:val="20"/>
        </w:rPr>
        <w:t>agreements.</w:t>
      </w:r>
    </w:p>
    <w:p w14:paraId="37DDD519" w14:textId="77777777" w:rsidR="00A757B6" w:rsidRPr="003D2AB7" w:rsidRDefault="00C00556"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 xml:space="preserve">Selected a judgemental sample of </w:t>
      </w:r>
      <w:r w:rsidR="006177BC" w:rsidRPr="003D2AB7">
        <w:rPr>
          <w:rFonts w:cstheme="minorHAnsi"/>
          <w:sz w:val="20"/>
          <w:szCs w:val="20"/>
        </w:rPr>
        <w:t>28</w:t>
      </w:r>
      <w:r w:rsidR="00A757B6" w:rsidRPr="003D2AB7">
        <w:rPr>
          <w:rFonts w:cstheme="minorHAnsi"/>
          <w:sz w:val="20"/>
          <w:szCs w:val="20"/>
        </w:rPr>
        <w:t xml:space="preserve"> (25%)</w:t>
      </w:r>
      <w:r w:rsidRPr="003D2AB7">
        <w:rPr>
          <w:rFonts w:cstheme="minorHAnsi"/>
          <w:sz w:val="20"/>
          <w:szCs w:val="20"/>
        </w:rPr>
        <w:t xml:space="preserve"> approved projects for desktop assessment</w:t>
      </w:r>
      <w:r w:rsidR="00DA5730" w:rsidRPr="003D2AB7">
        <w:rPr>
          <w:rFonts w:cstheme="minorHAnsi"/>
          <w:sz w:val="20"/>
          <w:szCs w:val="20"/>
        </w:rPr>
        <w:t xml:space="preserve"> against the testing checklist</w:t>
      </w:r>
      <w:r w:rsidRPr="003D2AB7">
        <w:rPr>
          <w:rFonts w:cstheme="minorHAnsi"/>
          <w:sz w:val="20"/>
          <w:szCs w:val="20"/>
        </w:rPr>
        <w:t>. Sample selection took into consideration size and complexity of works, catchment area, value of funding and proposed water savings</w:t>
      </w:r>
      <w:r w:rsidR="006177BC" w:rsidRPr="003D2AB7">
        <w:rPr>
          <w:rFonts w:cstheme="minorHAnsi"/>
          <w:sz w:val="20"/>
          <w:szCs w:val="20"/>
        </w:rPr>
        <w:t xml:space="preserve">. </w:t>
      </w:r>
      <w:r w:rsidR="00A757B6" w:rsidRPr="003D2AB7">
        <w:rPr>
          <w:rFonts w:cstheme="minorHAnsi"/>
          <w:sz w:val="20"/>
          <w:szCs w:val="20"/>
        </w:rPr>
        <w:t>The resultant sample included projects</w:t>
      </w:r>
      <w:r w:rsidR="006177BC" w:rsidRPr="003D2AB7">
        <w:rPr>
          <w:rFonts w:cstheme="minorHAnsi"/>
          <w:sz w:val="20"/>
          <w:szCs w:val="20"/>
        </w:rPr>
        <w:t xml:space="preserve"> ranging from approximately $140</w:t>
      </w:r>
      <w:r w:rsidR="00A757B6" w:rsidRPr="003D2AB7">
        <w:rPr>
          <w:rFonts w:cstheme="minorHAnsi"/>
          <w:sz w:val="20"/>
          <w:szCs w:val="20"/>
        </w:rPr>
        <w:t xml:space="preserve">,000 to over $5 million, with a spread from funding rounds </w:t>
      </w:r>
      <w:r w:rsidR="006177BC" w:rsidRPr="003D2AB7">
        <w:rPr>
          <w:rFonts w:cstheme="minorHAnsi"/>
          <w:sz w:val="20"/>
          <w:szCs w:val="20"/>
        </w:rPr>
        <w:t>1-9</w:t>
      </w:r>
      <w:r w:rsidR="00A757B6" w:rsidRPr="003D2AB7">
        <w:rPr>
          <w:rFonts w:cstheme="minorHAnsi"/>
          <w:sz w:val="20"/>
          <w:szCs w:val="20"/>
        </w:rPr>
        <w:t>. The sample covered the following catchment areas:</w:t>
      </w:r>
    </w:p>
    <w:p w14:paraId="5444E1F1" w14:textId="77777777" w:rsidR="006177BC" w:rsidRPr="003D2AB7" w:rsidRDefault="006177BC" w:rsidP="00251635">
      <w:pPr>
        <w:pStyle w:val="ListParagraph"/>
        <w:numPr>
          <w:ilvl w:val="1"/>
          <w:numId w:val="4"/>
        </w:numPr>
        <w:spacing w:before="120" w:after="120" w:line="240" w:lineRule="auto"/>
        <w:rPr>
          <w:rFonts w:cstheme="minorHAnsi"/>
          <w:sz w:val="20"/>
          <w:szCs w:val="20"/>
        </w:rPr>
      </w:pPr>
      <w:r w:rsidRPr="003D2AB7">
        <w:rPr>
          <w:rFonts w:cstheme="minorHAnsi"/>
          <w:sz w:val="20"/>
          <w:szCs w:val="20"/>
        </w:rPr>
        <w:t>Barwon-Darling;</w:t>
      </w:r>
    </w:p>
    <w:p w14:paraId="719CCDCA" w14:textId="77777777" w:rsidR="006177BC" w:rsidRPr="003D2AB7" w:rsidRDefault="006177BC" w:rsidP="00251635">
      <w:pPr>
        <w:pStyle w:val="ListParagraph"/>
        <w:numPr>
          <w:ilvl w:val="1"/>
          <w:numId w:val="4"/>
        </w:numPr>
        <w:spacing w:before="120" w:after="120" w:line="240" w:lineRule="auto"/>
        <w:rPr>
          <w:rFonts w:cstheme="minorHAnsi"/>
          <w:sz w:val="20"/>
          <w:szCs w:val="20"/>
        </w:rPr>
      </w:pPr>
      <w:r w:rsidRPr="003D2AB7">
        <w:rPr>
          <w:rFonts w:cstheme="minorHAnsi"/>
          <w:sz w:val="20"/>
          <w:szCs w:val="20"/>
        </w:rPr>
        <w:t>Border Rivers;</w:t>
      </w:r>
    </w:p>
    <w:p w14:paraId="278FA629" w14:textId="77777777" w:rsidR="006177BC" w:rsidRPr="003D2AB7" w:rsidRDefault="006177BC" w:rsidP="00251635">
      <w:pPr>
        <w:pStyle w:val="ListParagraph"/>
        <w:numPr>
          <w:ilvl w:val="1"/>
          <w:numId w:val="4"/>
        </w:numPr>
        <w:spacing w:before="120" w:after="120" w:line="240" w:lineRule="auto"/>
        <w:rPr>
          <w:rFonts w:cstheme="minorHAnsi"/>
          <w:sz w:val="20"/>
          <w:szCs w:val="20"/>
        </w:rPr>
      </w:pPr>
      <w:r w:rsidRPr="003D2AB7">
        <w:rPr>
          <w:rFonts w:cstheme="minorHAnsi"/>
          <w:sz w:val="20"/>
          <w:szCs w:val="20"/>
        </w:rPr>
        <w:t>Lower Namoi;</w:t>
      </w:r>
    </w:p>
    <w:p w14:paraId="4CE63C66" w14:textId="77777777" w:rsidR="006177BC" w:rsidRPr="003D2AB7" w:rsidRDefault="006177BC" w:rsidP="00251635">
      <w:pPr>
        <w:pStyle w:val="ListParagraph"/>
        <w:numPr>
          <w:ilvl w:val="1"/>
          <w:numId w:val="4"/>
        </w:numPr>
        <w:spacing w:before="120" w:after="120" w:line="240" w:lineRule="auto"/>
        <w:rPr>
          <w:rFonts w:cstheme="minorHAnsi"/>
          <w:sz w:val="20"/>
          <w:szCs w:val="20"/>
        </w:rPr>
      </w:pPr>
      <w:r w:rsidRPr="003D2AB7">
        <w:rPr>
          <w:rFonts w:cstheme="minorHAnsi"/>
          <w:sz w:val="20"/>
          <w:szCs w:val="20"/>
        </w:rPr>
        <w:t>Macquarie; and</w:t>
      </w:r>
    </w:p>
    <w:p w14:paraId="37A7F62A" w14:textId="77777777" w:rsidR="00A757B6" w:rsidRPr="003D2AB7" w:rsidRDefault="006177BC" w:rsidP="00251635">
      <w:pPr>
        <w:pStyle w:val="ListParagraph"/>
        <w:numPr>
          <w:ilvl w:val="1"/>
          <w:numId w:val="4"/>
        </w:numPr>
        <w:spacing w:before="120" w:after="120" w:line="240" w:lineRule="auto"/>
        <w:rPr>
          <w:rFonts w:cstheme="minorHAnsi"/>
          <w:sz w:val="20"/>
          <w:szCs w:val="20"/>
        </w:rPr>
      </w:pPr>
      <w:r w:rsidRPr="003D2AB7">
        <w:rPr>
          <w:rFonts w:cstheme="minorHAnsi"/>
          <w:sz w:val="20"/>
          <w:szCs w:val="20"/>
        </w:rPr>
        <w:t>Peel.</w:t>
      </w:r>
    </w:p>
    <w:p w14:paraId="419B6C52" w14:textId="77777777" w:rsidR="0044489D" w:rsidRPr="003D2AB7" w:rsidRDefault="0044489D" w:rsidP="0044489D">
      <w:pPr>
        <w:pStyle w:val="ListParagraph"/>
        <w:spacing w:before="120" w:after="120" w:line="240" w:lineRule="auto"/>
        <w:ind w:left="360"/>
        <w:rPr>
          <w:rFonts w:cstheme="minorHAnsi"/>
          <w:sz w:val="20"/>
          <w:szCs w:val="20"/>
        </w:rPr>
      </w:pPr>
      <w:r w:rsidRPr="003D2AB7">
        <w:rPr>
          <w:rFonts w:cstheme="minorHAnsi"/>
          <w:sz w:val="20"/>
          <w:szCs w:val="20"/>
        </w:rPr>
        <w:t xml:space="preserve">The sample excluded any projects under active investigation or separate review. </w:t>
      </w:r>
    </w:p>
    <w:p w14:paraId="02974F13" w14:textId="77777777" w:rsidR="00C00556" w:rsidRPr="003D2AB7" w:rsidRDefault="00C00556"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 xml:space="preserve">Conducted a site visit </w:t>
      </w:r>
      <w:r w:rsidR="00867112" w:rsidRPr="003D2AB7">
        <w:rPr>
          <w:rFonts w:cstheme="minorHAnsi"/>
          <w:sz w:val="20"/>
          <w:szCs w:val="20"/>
        </w:rPr>
        <w:t xml:space="preserve">at the </w:t>
      </w:r>
      <w:r w:rsidR="006177BC" w:rsidRPr="003D2AB7">
        <w:rPr>
          <w:rFonts w:cstheme="minorHAnsi"/>
          <w:sz w:val="20"/>
          <w:szCs w:val="20"/>
        </w:rPr>
        <w:t>DPI</w:t>
      </w:r>
      <w:r w:rsidR="00A757B6" w:rsidRPr="003D2AB7" w:rsidDel="00A757B6">
        <w:rPr>
          <w:rFonts w:cstheme="minorHAnsi"/>
          <w:sz w:val="20"/>
          <w:szCs w:val="20"/>
        </w:rPr>
        <w:t xml:space="preserve"> </w:t>
      </w:r>
      <w:r w:rsidR="006177BC" w:rsidRPr="003D2AB7">
        <w:rPr>
          <w:rFonts w:cstheme="minorHAnsi"/>
          <w:sz w:val="20"/>
          <w:szCs w:val="20"/>
        </w:rPr>
        <w:t>Wagg Wagga</w:t>
      </w:r>
      <w:r w:rsidR="00A757B6" w:rsidRPr="003D2AB7">
        <w:rPr>
          <w:rFonts w:cstheme="minorHAnsi"/>
          <w:sz w:val="20"/>
          <w:szCs w:val="20"/>
        </w:rPr>
        <w:t xml:space="preserve"> state office</w:t>
      </w:r>
      <w:r w:rsidR="00432EE5" w:rsidRPr="003D2AB7">
        <w:rPr>
          <w:rFonts w:cstheme="minorHAnsi"/>
          <w:sz w:val="20"/>
          <w:szCs w:val="20"/>
        </w:rPr>
        <w:t>. Through a combination of stakeholder consultation and document review, KPMG</w:t>
      </w:r>
      <w:r w:rsidR="00867112" w:rsidRPr="003D2AB7">
        <w:rPr>
          <w:rFonts w:cstheme="minorHAnsi"/>
          <w:sz w:val="20"/>
          <w:szCs w:val="20"/>
        </w:rPr>
        <w:t>:</w:t>
      </w:r>
    </w:p>
    <w:p w14:paraId="01C131BF" w14:textId="77777777" w:rsidR="003B7616" w:rsidRPr="003D2AB7" w:rsidRDefault="00D43892" w:rsidP="00251635">
      <w:pPr>
        <w:pStyle w:val="ListParagraph"/>
        <w:numPr>
          <w:ilvl w:val="1"/>
          <w:numId w:val="4"/>
        </w:numPr>
        <w:spacing w:before="120" w:after="120" w:line="240" w:lineRule="auto"/>
        <w:ind w:left="1077" w:hanging="357"/>
        <w:rPr>
          <w:rFonts w:cstheme="minorHAnsi"/>
          <w:sz w:val="20"/>
          <w:szCs w:val="20"/>
        </w:rPr>
      </w:pPr>
      <w:r w:rsidRPr="003D2AB7">
        <w:rPr>
          <w:rFonts w:cstheme="minorHAnsi"/>
          <w:sz w:val="20"/>
          <w:szCs w:val="20"/>
        </w:rPr>
        <w:t>Underst</w:t>
      </w:r>
      <w:r w:rsidR="00DA5730" w:rsidRPr="003D2AB7">
        <w:rPr>
          <w:rFonts w:cstheme="minorHAnsi"/>
          <w:sz w:val="20"/>
          <w:szCs w:val="20"/>
        </w:rPr>
        <w:t>ood</w:t>
      </w:r>
      <w:r w:rsidRPr="003D2AB7">
        <w:rPr>
          <w:rFonts w:cstheme="minorHAnsi"/>
          <w:sz w:val="20"/>
          <w:szCs w:val="20"/>
        </w:rPr>
        <w:t xml:space="preserve"> and review</w:t>
      </w:r>
      <w:r w:rsidR="00DA5730" w:rsidRPr="003D2AB7">
        <w:rPr>
          <w:rFonts w:cstheme="minorHAnsi"/>
          <w:sz w:val="20"/>
          <w:szCs w:val="20"/>
        </w:rPr>
        <w:t>ed</w:t>
      </w:r>
      <w:r w:rsidRPr="003D2AB7">
        <w:rPr>
          <w:rFonts w:cstheme="minorHAnsi"/>
          <w:sz w:val="20"/>
          <w:szCs w:val="20"/>
        </w:rPr>
        <w:t xml:space="preserve"> systems, processes and controls for the governance and administration of the relevant program to ensure these have been appropriately designed and implemented, including governance mechanisms, risk management, monitoring activities.</w:t>
      </w:r>
    </w:p>
    <w:p w14:paraId="6B9E1573" w14:textId="77777777" w:rsidR="00C00556" w:rsidRPr="003D2AB7" w:rsidRDefault="00867112" w:rsidP="00251635">
      <w:pPr>
        <w:pStyle w:val="ListParagraph"/>
        <w:numPr>
          <w:ilvl w:val="1"/>
          <w:numId w:val="4"/>
        </w:numPr>
        <w:spacing w:before="120" w:after="120" w:line="240" w:lineRule="auto"/>
        <w:ind w:left="1077" w:hanging="357"/>
        <w:rPr>
          <w:rFonts w:cstheme="minorHAnsi"/>
          <w:sz w:val="20"/>
          <w:szCs w:val="20"/>
        </w:rPr>
      </w:pPr>
      <w:r w:rsidRPr="003D2AB7">
        <w:rPr>
          <w:rFonts w:cstheme="minorHAnsi"/>
          <w:sz w:val="20"/>
          <w:szCs w:val="20"/>
        </w:rPr>
        <w:t>Review</w:t>
      </w:r>
      <w:r w:rsidR="00DA5730" w:rsidRPr="003D2AB7">
        <w:rPr>
          <w:rFonts w:cstheme="minorHAnsi"/>
          <w:sz w:val="20"/>
          <w:szCs w:val="20"/>
        </w:rPr>
        <w:t>ed</w:t>
      </w:r>
      <w:r w:rsidRPr="003D2AB7">
        <w:rPr>
          <w:rFonts w:cstheme="minorHAnsi"/>
          <w:sz w:val="20"/>
          <w:szCs w:val="20"/>
        </w:rPr>
        <w:t xml:space="preserve"> the selected </w:t>
      </w:r>
      <w:r w:rsidR="00C00556" w:rsidRPr="003D2AB7">
        <w:rPr>
          <w:rFonts w:cstheme="minorHAnsi"/>
          <w:sz w:val="20"/>
          <w:szCs w:val="20"/>
        </w:rPr>
        <w:t>sample of approved projects for compliance with requirements</w:t>
      </w:r>
      <w:r w:rsidR="00DA5730" w:rsidRPr="003D2AB7">
        <w:rPr>
          <w:rFonts w:cstheme="minorHAnsi"/>
          <w:sz w:val="20"/>
          <w:szCs w:val="20"/>
        </w:rPr>
        <w:t xml:space="preserve"> outlined in the testing checklist.</w:t>
      </w:r>
    </w:p>
    <w:p w14:paraId="2AA9BBEF" w14:textId="77777777" w:rsidR="00867112" w:rsidRPr="003D2AB7" w:rsidRDefault="00867112" w:rsidP="00251635">
      <w:pPr>
        <w:pStyle w:val="ListParagraph"/>
        <w:numPr>
          <w:ilvl w:val="1"/>
          <w:numId w:val="4"/>
        </w:numPr>
        <w:spacing w:before="120" w:after="120" w:line="240" w:lineRule="auto"/>
        <w:ind w:left="1077" w:hanging="357"/>
        <w:contextualSpacing w:val="0"/>
        <w:rPr>
          <w:rFonts w:cstheme="minorHAnsi"/>
          <w:sz w:val="20"/>
          <w:szCs w:val="20"/>
        </w:rPr>
      </w:pPr>
      <w:r w:rsidRPr="003D2AB7">
        <w:rPr>
          <w:rFonts w:cstheme="minorHAnsi"/>
          <w:sz w:val="20"/>
          <w:szCs w:val="20"/>
        </w:rPr>
        <w:t>Select</w:t>
      </w:r>
      <w:r w:rsidR="00DA5730" w:rsidRPr="003D2AB7">
        <w:rPr>
          <w:rFonts w:cstheme="minorHAnsi"/>
          <w:sz w:val="20"/>
          <w:szCs w:val="20"/>
        </w:rPr>
        <w:t>ed a</w:t>
      </w:r>
      <w:r w:rsidRPr="003D2AB7">
        <w:rPr>
          <w:rFonts w:cstheme="minorHAnsi"/>
          <w:sz w:val="20"/>
          <w:szCs w:val="20"/>
        </w:rPr>
        <w:t xml:space="preserve"> refined sample of</w:t>
      </w:r>
      <w:r w:rsidR="00DA5730" w:rsidRPr="003D2AB7">
        <w:rPr>
          <w:rFonts w:cstheme="minorHAnsi"/>
          <w:sz w:val="20"/>
          <w:szCs w:val="20"/>
        </w:rPr>
        <w:t xml:space="preserve"> nine projects</w:t>
      </w:r>
      <w:r w:rsidRPr="003D2AB7">
        <w:rPr>
          <w:rFonts w:cstheme="minorHAnsi"/>
          <w:sz w:val="20"/>
          <w:szCs w:val="20"/>
        </w:rPr>
        <w:t xml:space="preserve"> for on-ground verification</w:t>
      </w:r>
      <w:r w:rsidR="00DA5730" w:rsidRPr="003D2AB7">
        <w:rPr>
          <w:rFonts w:cstheme="minorHAnsi"/>
          <w:sz w:val="20"/>
          <w:szCs w:val="20"/>
        </w:rPr>
        <w:t xml:space="preserve"> – a subset of the original sample.</w:t>
      </w:r>
    </w:p>
    <w:p w14:paraId="4C9B8608" w14:textId="77777777" w:rsidR="00867112" w:rsidRPr="003D2AB7" w:rsidRDefault="00867112"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Conducted site visits for</w:t>
      </w:r>
      <w:r w:rsidR="00DA5730" w:rsidRPr="003D2AB7">
        <w:rPr>
          <w:rFonts w:cstheme="minorHAnsi"/>
          <w:sz w:val="20"/>
          <w:szCs w:val="20"/>
        </w:rPr>
        <w:t xml:space="preserve"> </w:t>
      </w:r>
      <w:r w:rsidR="00432EE5" w:rsidRPr="003D2AB7">
        <w:rPr>
          <w:rFonts w:cstheme="minorHAnsi"/>
          <w:sz w:val="20"/>
          <w:szCs w:val="20"/>
        </w:rPr>
        <w:t xml:space="preserve">a </w:t>
      </w:r>
      <w:r w:rsidR="00DA5730" w:rsidRPr="003D2AB7">
        <w:rPr>
          <w:rFonts w:cstheme="minorHAnsi"/>
          <w:sz w:val="20"/>
          <w:szCs w:val="20"/>
        </w:rPr>
        <w:t>further</w:t>
      </w:r>
      <w:r w:rsidRPr="003D2AB7">
        <w:rPr>
          <w:rFonts w:cstheme="minorHAnsi"/>
          <w:sz w:val="20"/>
          <w:szCs w:val="20"/>
        </w:rPr>
        <w:t xml:space="preserve"> nine approved projects</w:t>
      </w:r>
      <w:r w:rsidR="00DA5730" w:rsidRPr="003D2AB7">
        <w:rPr>
          <w:rFonts w:cstheme="minorHAnsi"/>
          <w:sz w:val="20"/>
          <w:szCs w:val="20"/>
        </w:rPr>
        <w:t xml:space="preserve"> and undertook the following:</w:t>
      </w:r>
      <w:r w:rsidRPr="003D2AB7">
        <w:rPr>
          <w:rFonts w:cstheme="minorHAnsi"/>
          <w:sz w:val="20"/>
          <w:szCs w:val="20"/>
        </w:rPr>
        <w:t xml:space="preserve"> </w:t>
      </w:r>
    </w:p>
    <w:p w14:paraId="0571C251" w14:textId="77777777" w:rsidR="003B7616" w:rsidRPr="003D2AB7" w:rsidRDefault="0044489D" w:rsidP="00251635">
      <w:pPr>
        <w:pStyle w:val="ListParagraph"/>
        <w:numPr>
          <w:ilvl w:val="1"/>
          <w:numId w:val="4"/>
        </w:numPr>
        <w:spacing w:before="120" w:after="120" w:line="240" w:lineRule="auto"/>
        <w:ind w:left="1077" w:hanging="357"/>
        <w:rPr>
          <w:rFonts w:cstheme="minorHAnsi"/>
          <w:sz w:val="20"/>
          <w:szCs w:val="20"/>
        </w:rPr>
      </w:pPr>
      <w:r w:rsidRPr="003D2AB7">
        <w:rPr>
          <w:rFonts w:cstheme="minorHAnsi"/>
          <w:sz w:val="20"/>
          <w:szCs w:val="20"/>
        </w:rPr>
        <w:t>Gained an u</w:t>
      </w:r>
      <w:r w:rsidR="00D43892" w:rsidRPr="003D2AB7">
        <w:rPr>
          <w:rFonts w:cstheme="minorHAnsi"/>
          <w:sz w:val="20"/>
          <w:szCs w:val="20"/>
        </w:rPr>
        <w:t>nderstand</w:t>
      </w:r>
      <w:r w:rsidRPr="003D2AB7">
        <w:rPr>
          <w:rFonts w:cstheme="minorHAnsi"/>
          <w:sz w:val="20"/>
          <w:szCs w:val="20"/>
        </w:rPr>
        <w:t>ing</w:t>
      </w:r>
      <w:r w:rsidR="00D43892" w:rsidRPr="003D2AB7">
        <w:rPr>
          <w:rFonts w:cstheme="minorHAnsi"/>
          <w:sz w:val="20"/>
          <w:szCs w:val="20"/>
        </w:rPr>
        <w:t xml:space="preserve"> of the processes in place at the proponent / funding recipient to ensure they comply with the funding conditions.</w:t>
      </w:r>
    </w:p>
    <w:p w14:paraId="783855FE" w14:textId="77777777" w:rsidR="00867112" w:rsidRPr="003D2AB7" w:rsidRDefault="00867112" w:rsidP="00251635">
      <w:pPr>
        <w:pStyle w:val="ListParagraph"/>
        <w:numPr>
          <w:ilvl w:val="1"/>
          <w:numId w:val="4"/>
        </w:numPr>
        <w:spacing w:before="120" w:after="120" w:line="240" w:lineRule="auto"/>
        <w:ind w:left="1077" w:hanging="357"/>
        <w:rPr>
          <w:rFonts w:cstheme="minorHAnsi"/>
          <w:sz w:val="20"/>
          <w:szCs w:val="20"/>
        </w:rPr>
      </w:pPr>
      <w:r w:rsidRPr="003D2AB7">
        <w:rPr>
          <w:rFonts w:cstheme="minorHAnsi"/>
          <w:sz w:val="20"/>
          <w:szCs w:val="20"/>
        </w:rPr>
        <w:t>Obtain</w:t>
      </w:r>
      <w:r w:rsidR="0044489D" w:rsidRPr="003D2AB7">
        <w:rPr>
          <w:rFonts w:cstheme="minorHAnsi"/>
          <w:sz w:val="20"/>
          <w:szCs w:val="20"/>
        </w:rPr>
        <w:t>ed</w:t>
      </w:r>
      <w:r w:rsidRPr="003D2AB7">
        <w:rPr>
          <w:rFonts w:cstheme="minorHAnsi"/>
          <w:sz w:val="20"/>
          <w:szCs w:val="20"/>
        </w:rPr>
        <w:t xml:space="preserve"> feedback from proponents on the </w:t>
      </w:r>
      <w:r w:rsidR="006177BC" w:rsidRPr="003D2AB7">
        <w:rPr>
          <w:rFonts w:cstheme="minorHAnsi"/>
          <w:sz w:val="20"/>
          <w:szCs w:val="20"/>
        </w:rPr>
        <w:t>IFM</w:t>
      </w:r>
      <w:r w:rsidRPr="003D2AB7">
        <w:rPr>
          <w:rFonts w:cstheme="minorHAnsi"/>
          <w:sz w:val="20"/>
          <w:szCs w:val="20"/>
        </w:rPr>
        <w:t xml:space="preserve"> project.</w:t>
      </w:r>
    </w:p>
    <w:p w14:paraId="2447F6CC" w14:textId="77777777" w:rsidR="00DA5730" w:rsidRPr="003D2AB7" w:rsidRDefault="0044489D" w:rsidP="00251635">
      <w:pPr>
        <w:pStyle w:val="ListParagraph"/>
        <w:numPr>
          <w:ilvl w:val="1"/>
          <w:numId w:val="4"/>
        </w:numPr>
        <w:spacing w:before="120" w:after="120" w:line="240" w:lineRule="auto"/>
        <w:ind w:left="1077" w:hanging="357"/>
        <w:rPr>
          <w:rFonts w:cstheme="minorHAnsi"/>
          <w:sz w:val="20"/>
          <w:szCs w:val="20"/>
        </w:rPr>
      </w:pPr>
      <w:r w:rsidRPr="003D2AB7">
        <w:rPr>
          <w:rFonts w:cstheme="minorHAnsi"/>
          <w:sz w:val="20"/>
          <w:szCs w:val="20"/>
        </w:rPr>
        <w:t>Undertook</w:t>
      </w:r>
      <w:r w:rsidR="00D43892" w:rsidRPr="003D2AB7">
        <w:rPr>
          <w:rFonts w:cstheme="minorHAnsi"/>
          <w:sz w:val="20"/>
          <w:szCs w:val="20"/>
        </w:rPr>
        <w:t xml:space="preserve"> </w:t>
      </w:r>
      <w:r w:rsidR="00A757B6" w:rsidRPr="003D2AB7">
        <w:rPr>
          <w:rFonts w:cstheme="minorHAnsi"/>
          <w:sz w:val="20"/>
          <w:szCs w:val="20"/>
        </w:rPr>
        <w:t xml:space="preserve">an </w:t>
      </w:r>
      <w:r w:rsidR="00D43892" w:rsidRPr="003D2AB7">
        <w:rPr>
          <w:rFonts w:cstheme="minorHAnsi"/>
          <w:sz w:val="20"/>
          <w:szCs w:val="20"/>
        </w:rPr>
        <w:t>assessment of the progress made in implementing on-ground works and verification of engineering reports</w:t>
      </w:r>
      <w:r w:rsidR="00DA5730" w:rsidRPr="003D2AB7">
        <w:rPr>
          <w:rFonts w:cstheme="minorHAnsi"/>
          <w:sz w:val="20"/>
          <w:szCs w:val="20"/>
        </w:rPr>
        <w:t>, namely:</w:t>
      </w:r>
    </w:p>
    <w:p w14:paraId="77D3BDF5" w14:textId="77777777" w:rsidR="00DA5730" w:rsidRPr="003D2AB7" w:rsidRDefault="00DA5730" w:rsidP="00251635">
      <w:pPr>
        <w:pStyle w:val="ListParagraph"/>
        <w:numPr>
          <w:ilvl w:val="2"/>
          <w:numId w:val="4"/>
        </w:numPr>
        <w:spacing w:before="120" w:after="120" w:line="240" w:lineRule="auto"/>
        <w:rPr>
          <w:rFonts w:cstheme="minorHAnsi"/>
          <w:sz w:val="20"/>
          <w:szCs w:val="20"/>
        </w:rPr>
      </w:pPr>
      <w:r w:rsidRPr="003D2AB7">
        <w:rPr>
          <w:rFonts w:cstheme="minorHAnsi"/>
          <w:sz w:val="20"/>
          <w:szCs w:val="20"/>
        </w:rPr>
        <w:t>Scope of works in approved application;</w:t>
      </w:r>
    </w:p>
    <w:p w14:paraId="112B55A5" w14:textId="77777777" w:rsidR="00DA5730" w:rsidRPr="003D2AB7" w:rsidRDefault="00DA5730" w:rsidP="00251635">
      <w:pPr>
        <w:pStyle w:val="ListParagraph"/>
        <w:numPr>
          <w:ilvl w:val="2"/>
          <w:numId w:val="4"/>
        </w:numPr>
        <w:spacing w:before="120" w:after="120" w:line="240" w:lineRule="auto"/>
        <w:rPr>
          <w:rFonts w:cstheme="minorHAnsi"/>
          <w:sz w:val="20"/>
          <w:szCs w:val="20"/>
        </w:rPr>
      </w:pPr>
      <w:r w:rsidRPr="003D2AB7">
        <w:rPr>
          <w:rFonts w:cstheme="minorHAnsi"/>
          <w:sz w:val="20"/>
          <w:szCs w:val="20"/>
        </w:rPr>
        <w:t>Milestone inspection reports; and/or</w:t>
      </w:r>
    </w:p>
    <w:p w14:paraId="4681554F" w14:textId="77777777" w:rsidR="003B7616" w:rsidRPr="003D2AB7" w:rsidRDefault="00DA5730" w:rsidP="00251635">
      <w:pPr>
        <w:pStyle w:val="ListParagraph"/>
        <w:numPr>
          <w:ilvl w:val="2"/>
          <w:numId w:val="4"/>
        </w:numPr>
        <w:spacing w:before="120" w:after="120" w:line="240" w:lineRule="auto"/>
        <w:rPr>
          <w:rFonts w:cstheme="minorHAnsi"/>
          <w:sz w:val="18"/>
          <w:szCs w:val="18"/>
        </w:rPr>
      </w:pPr>
      <w:r w:rsidRPr="003D2AB7">
        <w:rPr>
          <w:rFonts w:cstheme="minorHAnsi"/>
          <w:sz w:val="20"/>
          <w:szCs w:val="20"/>
        </w:rPr>
        <w:t>Final commissioning</w:t>
      </w:r>
      <w:r w:rsidRPr="003D2AB7">
        <w:rPr>
          <w:rFonts w:cstheme="minorHAnsi"/>
          <w:sz w:val="18"/>
          <w:szCs w:val="18"/>
        </w:rPr>
        <w:t xml:space="preserve"> report. </w:t>
      </w:r>
    </w:p>
    <w:p w14:paraId="6AB2A4A5" w14:textId="77777777" w:rsidR="003B7616" w:rsidRPr="003D2AB7" w:rsidRDefault="00D43892" w:rsidP="00251635">
      <w:pPr>
        <w:pStyle w:val="ListParagraph"/>
        <w:numPr>
          <w:ilvl w:val="1"/>
          <w:numId w:val="4"/>
        </w:numPr>
        <w:spacing w:before="120" w:after="120" w:line="240" w:lineRule="auto"/>
        <w:ind w:left="1077" w:hanging="357"/>
        <w:rPr>
          <w:rFonts w:cstheme="minorHAnsi"/>
          <w:sz w:val="20"/>
          <w:szCs w:val="20"/>
        </w:rPr>
      </w:pPr>
      <w:r w:rsidRPr="003D2AB7">
        <w:rPr>
          <w:rFonts w:cstheme="minorHAnsi"/>
          <w:sz w:val="20"/>
          <w:szCs w:val="20"/>
        </w:rPr>
        <w:t>Follow</w:t>
      </w:r>
      <w:r w:rsidR="00432EE5" w:rsidRPr="003D2AB7">
        <w:rPr>
          <w:rFonts w:cstheme="minorHAnsi"/>
          <w:sz w:val="20"/>
          <w:szCs w:val="20"/>
        </w:rPr>
        <w:t>ed</w:t>
      </w:r>
      <w:r w:rsidRPr="003D2AB7">
        <w:rPr>
          <w:rFonts w:cstheme="minorHAnsi"/>
          <w:sz w:val="20"/>
          <w:szCs w:val="20"/>
        </w:rPr>
        <w:t xml:space="preserve"> up any risks or gaps identified during desktop assessment.</w:t>
      </w:r>
    </w:p>
    <w:p w14:paraId="62632BD3" w14:textId="77777777" w:rsidR="00867112" w:rsidRPr="003D2AB7" w:rsidRDefault="00867112" w:rsidP="0044489D">
      <w:pPr>
        <w:spacing w:before="120" w:after="120" w:line="240" w:lineRule="auto"/>
        <w:rPr>
          <w:rFonts w:cstheme="minorHAnsi"/>
          <w:b/>
          <w:sz w:val="20"/>
          <w:szCs w:val="20"/>
        </w:rPr>
      </w:pPr>
      <w:r w:rsidRPr="003D2AB7">
        <w:rPr>
          <w:rFonts w:cstheme="minorHAnsi"/>
          <w:b/>
          <w:sz w:val="20"/>
          <w:szCs w:val="20"/>
        </w:rPr>
        <w:t>Reporting</w:t>
      </w:r>
    </w:p>
    <w:p w14:paraId="11952E59" w14:textId="77777777" w:rsidR="00867112" w:rsidRPr="003D2AB7" w:rsidRDefault="007B612D"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 xml:space="preserve">Sought additional information and discussed </w:t>
      </w:r>
      <w:r w:rsidR="00867112" w:rsidRPr="003D2AB7">
        <w:rPr>
          <w:rFonts w:cstheme="minorHAnsi"/>
          <w:sz w:val="20"/>
          <w:szCs w:val="20"/>
        </w:rPr>
        <w:t>observation</w:t>
      </w:r>
      <w:r w:rsidR="00E621EE" w:rsidRPr="003D2AB7">
        <w:rPr>
          <w:rFonts w:cstheme="minorHAnsi"/>
          <w:sz w:val="20"/>
          <w:szCs w:val="20"/>
        </w:rPr>
        <w:t>s</w:t>
      </w:r>
      <w:r w:rsidR="00867112" w:rsidRPr="003D2AB7">
        <w:rPr>
          <w:rFonts w:cstheme="minorHAnsi"/>
          <w:sz w:val="20"/>
          <w:szCs w:val="20"/>
        </w:rPr>
        <w:t xml:space="preserve"> with the </w:t>
      </w:r>
      <w:r w:rsidR="006177BC" w:rsidRPr="003D2AB7">
        <w:rPr>
          <w:rFonts w:cstheme="minorHAnsi"/>
          <w:sz w:val="20"/>
          <w:szCs w:val="20"/>
        </w:rPr>
        <w:t>DPI</w:t>
      </w:r>
      <w:r w:rsidRPr="003D2AB7">
        <w:rPr>
          <w:rFonts w:cstheme="minorHAnsi"/>
          <w:sz w:val="20"/>
          <w:szCs w:val="20"/>
        </w:rPr>
        <w:t xml:space="preserve"> and DAWR</w:t>
      </w:r>
      <w:r w:rsidR="00867112" w:rsidRPr="003D2AB7">
        <w:rPr>
          <w:rFonts w:cstheme="minorHAnsi"/>
          <w:sz w:val="20"/>
          <w:szCs w:val="20"/>
        </w:rPr>
        <w:t xml:space="preserve"> to confirm factual accuracy </w:t>
      </w:r>
      <w:r w:rsidR="00E621EE" w:rsidRPr="003D2AB7">
        <w:rPr>
          <w:rFonts w:cstheme="minorHAnsi"/>
          <w:sz w:val="20"/>
          <w:szCs w:val="20"/>
        </w:rPr>
        <w:t xml:space="preserve">of observations </w:t>
      </w:r>
      <w:r w:rsidR="00867112" w:rsidRPr="003D2AB7">
        <w:rPr>
          <w:rFonts w:cstheme="minorHAnsi"/>
          <w:sz w:val="20"/>
          <w:szCs w:val="20"/>
        </w:rPr>
        <w:t>prior to the Draft report.</w:t>
      </w:r>
    </w:p>
    <w:p w14:paraId="231FC701" w14:textId="77777777" w:rsidR="00867112" w:rsidRPr="003D2AB7" w:rsidRDefault="00867112"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Developed a draft a report for circulation to relevant stakeholders.</w:t>
      </w:r>
    </w:p>
    <w:p w14:paraId="15222D75" w14:textId="77777777" w:rsidR="00D43892" w:rsidRPr="003D2AB7" w:rsidRDefault="00D43892" w:rsidP="00251635">
      <w:pPr>
        <w:pStyle w:val="ListParagraph"/>
        <w:numPr>
          <w:ilvl w:val="0"/>
          <w:numId w:val="4"/>
        </w:numPr>
        <w:spacing w:before="60" w:after="60" w:line="240" w:lineRule="auto"/>
        <w:contextualSpacing w:val="0"/>
        <w:rPr>
          <w:rFonts w:cstheme="minorHAnsi"/>
          <w:sz w:val="20"/>
          <w:szCs w:val="20"/>
        </w:rPr>
      </w:pPr>
      <w:r w:rsidRPr="003D2AB7">
        <w:rPr>
          <w:rFonts w:cstheme="minorHAnsi"/>
          <w:sz w:val="20"/>
          <w:szCs w:val="20"/>
        </w:rPr>
        <w:t>Finalise</w:t>
      </w:r>
      <w:r w:rsidR="0044489D" w:rsidRPr="003D2AB7">
        <w:rPr>
          <w:rFonts w:cstheme="minorHAnsi"/>
          <w:sz w:val="20"/>
          <w:szCs w:val="20"/>
        </w:rPr>
        <w:t>d</w:t>
      </w:r>
      <w:r w:rsidRPr="003D2AB7">
        <w:rPr>
          <w:rFonts w:cstheme="minorHAnsi"/>
          <w:sz w:val="20"/>
          <w:szCs w:val="20"/>
        </w:rPr>
        <w:t xml:space="preserve"> report, based on consolidated feedback from the </w:t>
      </w:r>
      <w:r w:rsidR="00C57E81" w:rsidRPr="003D2AB7">
        <w:rPr>
          <w:rFonts w:cstheme="minorHAnsi"/>
          <w:sz w:val="20"/>
          <w:szCs w:val="20"/>
        </w:rPr>
        <w:t>DAWR</w:t>
      </w:r>
      <w:r w:rsidRPr="003D2AB7">
        <w:rPr>
          <w:rFonts w:cstheme="minorHAnsi"/>
          <w:sz w:val="20"/>
          <w:szCs w:val="20"/>
        </w:rPr>
        <w:t xml:space="preserve"> and </w:t>
      </w:r>
      <w:r w:rsidR="007F1522" w:rsidRPr="003D2AB7">
        <w:rPr>
          <w:rFonts w:cstheme="minorHAnsi"/>
          <w:sz w:val="20"/>
          <w:szCs w:val="20"/>
        </w:rPr>
        <w:t>DPI</w:t>
      </w:r>
      <w:r w:rsidR="00A757B6" w:rsidRPr="003D2AB7">
        <w:rPr>
          <w:rFonts w:cstheme="minorHAnsi"/>
          <w:sz w:val="20"/>
          <w:szCs w:val="20"/>
        </w:rPr>
        <w:t xml:space="preserve"> </w:t>
      </w:r>
      <w:r w:rsidRPr="003D2AB7">
        <w:rPr>
          <w:rFonts w:cstheme="minorHAnsi"/>
          <w:sz w:val="20"/>
          <w:szCs w:val="20"/>
        </w:rPr>
        <w:t>stakeholders.</w:t>
      </w:r>
    </w:p>
    <w:p w14:paraId="5B36AEE7" w14:textId="77777777" w:rsidR="00FC0C47" w:rsidRPr="003D2AB7" w:rsidRDefault="00FC0C47" w:rsidP="00597060">
      <w:pPr>
        <w:pStyle w:val="Heading2"/>
        <w:pageBreakBefore/>
        <w:numPr>
          <w:ilvl w:val="0"/>
          <w:numId w:val="2"/>
        </w:numPr>
        <w:ind w:left="425" w:hanging="425"/>
        <w:rPr>
          <w:rFonts w:asciiTheme="minorHAnsi" w:hAnsiTheme="minorHAnsi" w:cstheme="minorHAnsi"/>
        </w:rPr>
      </w:pPr>
      <w:bookmarkStart w:id="38" w:name="_Toc532474967"/>
      <w:r w:rsidRPr="003D2AB7">
        <w:rPr>
          <w:rFonts w:asciiTheme="minorHAnsi" w:hAnsiTheme="minorHAnsi" w:cstheme="minorHAnsi"/>
        </w:rPr>
        <w:t>Disclaimer</w:t>
      </w:r>
      <w:bookmarkEnd w:id="38"/>
    </w:p>
    <w:p w14:paraId="5BE0C61B" w14:textId="77777777" w:rsidR="00273FB1" w:rsidRPr="003D2AB7" w:rsidRDefault="00273FB1" w:rsidP="00273FB1">
      <w:pPr>
        <w:rPr>
          <w:rFonts w:cstheme="minorHAnsi"/>
          <w:sz w:val="20"/>
        </w:rPr>
      </w:pPr>
      <w:r w:rsidRPr="003D2AB7">
        <w:rPr>
          <w:rFonts w:cstheme="minorHAnsi"/>
          <w:b/>
          <w:bCs/>
          <w:sz w:val="20"/>
        </w:rPr>
        <w:t>Inherent Limitations</w:t>
      </w:r>
    </w:p>
    <w:p w14:paraId="591CF31E" w14:textId="77777777" w:rsidR="00273FB1" w:rsidRPr="003D2AB7" w:rsidRDefault="00273FB1" w:rsidP="00273FB1">
      <w:pPr>
        <w:spacing w:before="120" w:after="120" w:line="240" w:lineRule="auto"/>
        <w:rPr>
          <w:rFonts w:cstheme="minorHAnsi"/>
          <w:sz w:val="20"/>
        </w:rPr>
      </w:pPr>
      <w:r w:rsidRPr="003D2AB7">
        <w:rPr>
          <w:rFonts w:cstheme="minorHAnsi"/>
          <w:sz w:val="20"/>
        </w:rPr>
        <w:t>This report has been prepared as outlined in Appendix B of the report. The procedures outlined in the approach do not constitute a statutory audit nor a comprehensive review of operations.</w:t>
      </w:r>
    </w:p>
    <w:p w14:paraId="46A7A2A9" w14:textId="77777777" w:rsidR="00273FB1" w:rsidRPr="003D2AB7" w:rsidRDefault="00273FB1" w:rsidP="00273FB1">
      <w:pPr>
        <w:spacing w:before="120" w:after="120" w:line="240" w:lineRule="auto"/>
        <w:rPr>
          <w:rFonts w:cstheme="minorHAnsi"/>
          <w:sz w:val="20"/>
        </w:rPr>
      </w:pPr>
      <w:r w:rsidRPr="003D2AB7">
        <w:rPr>
          <w:rFonts w:cstheme="minorHAnsi"/>
          <w:sz w:val="20"/>
        </w:rPr>
        <w:t>No warranty of completeness, accuracy or reliability is given by KPMG in relation to the statements and representations made by the department and client agencies, nor the information and documentation provided by the department and client agencies, as part of the process used in preparing this report.</w:t>
      </w:r>
    </w:p>
    <w:p w14:paraId="2818024A" w14:textId="77777777" w:rsidR="00273FB1" w:rsidRPr="003D2AB7" w:rsidRDefault="00273FB1" w:rsidP="00273FB1">
      <w:pPr>
        <w:spacing w:before="120" w:after="120" w:line="240" w:lineRule="auto"/>
        <w:rPr>
          <w:rFonts w:cstheme="minorHAnsi"/>
          <w:sz w:val="20"/>
        </w:rPr>
      </w:pPr>
      <w:r w:rsidRPr="003D2AB7">
        <w:rPr>
          <w:rFonts w:cstheme="minorHAnsi"/>
          <w:sz w:val="20"/>
        </w:rPr>
        <w:t>We have not sought to independently verify those sources unless otherwise noted within the report. KPMG is under no obligation in any circumstance to update this report, in either oral or written form, for events occurring after the report has been issued in final form. The findings in this report have been formed on the above basis.</w:t>
      </w:r>
    </w:p>
    <w:p w14:paraId="3C1CA301" w14:textId="77777777" w:rsidR="00273FB1" w:rsidRPr="003D2AB7" w:rsidRDefault="00273FB1" w:rsidP="00273FB1">
      <w:pPr>
        <w:spacing w:before="120" w:after="120" w:line="240" w:lineRule="auto"/>
        <w:rPr>
          <w:rFonts w:cstheme="minorHAnsi"/>
          <w:sz w:val="20"/>
        </w:rPr>
      </w:pPr>
      <w:r w:rsidRPr="003D2AB7">
        <w:rPr>
          <w:rFonts w:cstheme="minorHAnsi"/>
          <w:sz w:val="20"/>
        </w:rPr>
        <w:t xml:space="preserve">Due to the inherent limitations of any internal control structure, it is possible that fraud, error or non-compliance with laws and regulations may occur and not be detected. Further, the </w:t>
      </w:r>
      <w:r w:rsidR="000B2AF6" w:rsidRPr="003D2AB7">
        <w:rPr>
          <w:rFonts w:cstheme="minorHAnsi"/>
          <w:sz w:val="20"/>
        </w:rPr>
        <w:t>organisational control</w:t>
      </w:r>
      <w:r w:rsidRPr="003D2AB7">
        <w:rPr>
          <w:rFonts w:cstheme="minorHAnsi"/>
          <w:sz w:val="20"/>
        </w:rPr>
        <w:t xml:space="preserve"> structure, within which the </w:t>
      </w:r>
      <w:r w:rsidR="00C95FF7" w:rsidRPr="003D2AB7">
        <w:rPr>
          <w:rFonts w:cstheme="minorHAnsi"/>
          <w:sz w:val="20"/>
        </w:rPr>
        <w:t>State Priority Project operates</w:t>
      </w:r>
      <w:r w:rsidRPr="003D2AB7">
        <w:rPr>
          <w:rFonts w:cstheme="minorHAnsi"/>
          <w:sz w:val="20"/>
        </w:rPr>
        <w:t>, has not been reviewed in its entirety and, therefore, no opinion or view is expressed as to its effectiveness of th</w:t>
      </w:r>
      <w:r w:rsidR="000B2AF6" w:rsidRPr="003D2AB7">
        <w:rPr>
          <w:rFonts w:cstheme="minorHAnsi"/>
          <w:sz w:val="20"/>
        </w:rPr>
        <w:t>is</w:t>
      </w:r>
      <w:r w:rsidRPr="003D2AB7">
        <w:rPr>
          <w:rFonts w:cstheme="minorHAnsi"/>
          <w:sz w:val="20"/>
        </w:rPr>
        <w:t xml:space="preserve"> greater control structure. The procedures performed were not designed to detect all weaknesses in control procedures as they are not performed continuously throughout the period and the tests performed on the control procedures are on sample basis. Any projection of the evaluation of control procedures to future periods is subject to the risk that the procedures may become inadequate because of changes in conditions, or that the degree of compliance with them may deteriorate. ‘Review’ in this Report is not used in the context as outlined in the Australian Auditing Standard</w:t>
      </w:r>
      <w:r w:rsidR="003130C0" w:rsidRPr="003D2AB7">
        <w:rPr>
          <w:rFonts w:cstheme="minorHAnsi"/>
          <w:sz w:val="20"/>
        </w:rPr>
        <w:t>s</w:t>
      </w:r>
      <w:r w:rsidRPr="003D2AB7">
        <w:rPr>
          <w:rFonts w:cstheme="minorHAnsi"/>
          <w:sz w:val="20"/>
        </w:rPr>
        <w:t>.</w:t>
      </w:r>
    </w:p>
    <w:p w14:paraId="31A63A33" w14:textId="77777777" w:rsidR="00273FB1" w:rsidRPr="003D2AB7" w:rsidRDefault="00273FB1" w:rsidP="00273FB1">
      <w:pPr>
        <w:spacing w:before="120" w:after="120" w:line="240" w:lineRule="auto"/>
        <w:rPr>
          <w:rFonts w:cstheme="minorHAnsi"/>
          <w:sz w:val="20"/>
        </w:rPr>
      </w:pPr>
      <w:r w:rsidRPr="003D2AB7">
        <w:rPr>
          <w:rFonts w:cstheme="minorHAnsi"/>
          <w:b/>
          <w:bCs/>
          <w:sz w:val="20"/>
        </w:rPr>
        <w:t>Third Party Reliance</w:t>
      </w:r>
    </w:p>
    <w:p w14:paraId="51139264" w14:textId="77777777" w:rsidR="00273FB1" w:rsidRPr="003D2AB7" w:rsidRDefault="00273FB1" w:rsidP="00273FB1">
      <w:pPr>
        <w:spacing w:before="120" w:after="120" w:line="240" w:lineRule="auto"/>
        <w:rPr>
          <w:rFonts w:cstheme="minorHAnsi"/>
          <w:sz w:val="20"/>
        </w:rPr>
      </w:pPr>
      <w:r w:rsidRPr="003D2AB7">
        <w:rPr>
          <w:rFonts w:cstheme="minorHAnsi"/>
          <w:sz w:val="20"/>
        </w:rPr>
        <w:t>This report is solely for the purpose set out in Appendix A and for the DAWR’s information, and is not to be used for any other purpose or distributed to any other party without KPMG’s prior written consent.</w:t>
      </w:r>
    </w:p>
    <w:p w14:paraId="76E3D453" w14:textId="77777777" w:rsidR="00273FB1" w:rsidRPr="003D2AB7" w:rsidRDefault="00273FB1" w:rsidP="00273FB1">
      <w:pPr>
        <w:tabs>
          <w:tab w:val="left" w:pos="7813"/>
        </w:tabs>
        <w:spacing w:before="120" w:after="120" w:line="240" w:lineRule="auto"/>
        <w:rPr>
          <w:rFonts w:cstheme="minorHAnsi"/>
          <w:sz w:val="20"/>
        </w:rPr>
      </w:pPr>
      <w:r w:rsidRPr="003D2AB7">
        <w:rPr>
          <w:rFonts w:cstheme="minorHAnsi"/>
          <w:sz w:val="20"/>
        </w:rPr>
        <w:t>This report has been prepared at the request of the department in accordance with the terms of KPMG’s work order dated 23 March 2018. Other than our responsibility to the department, neither KPMG nor any member or employee of KPMG undertakes responsibility arising in any way from reliance placed by a third party on this report. Any reliance placed is that party’s sole responsibility.</w:t>
      </w:r>
    </w:p>
    <w:p w14:paraId="1D5577BB" w14:textId="77777777" w:rsidR="003D1C3A" w:rsidRPr="003D2AB7" w:rsidRDefault="003D1C3A" w:rsidP="003D1C3A">
      <w:pPr>
        <w:spacing w:before="120" w:after="120" w:line="240" w:lineRule="auto"/>
        <w:rPr>
          <w:rFonts w:cstheme="minorHAnsi"/>
          <w:b/>
          <w:bCs/>
          <w:sz w:val="20"/>
        </w:rPr>
      </w:pPr>
      <w:r w:rsidRPr="003D2AB7">
        <w:rPr>
          <w:rFonts w:cstheme="minorHAnsi"/>
          <w:b/>
          <w:bCs/>
          <w:sz w:val="20"/>
        </w:rPr>
        <w:t>Accessibility</w:t>
      </w:r>
    </w:p>
    <w:p w14:paraId="72DEF2E8" w14:textId="77777777" w:rsidR="003D1C3A" w:rsidRPr="003D2AB7" w:rsidRDefault="003D1C3A" w:rsidP="003D1C3A">
      <w:pPr>
        <w:tabs>
          <w:tab w:val="left" w:pos="7813"/>
        </w:tabs>
        <w:spacing w:before="120" w:after="120" w:line="240" w:lineRule="auto"/>
        <w:rPr>
          <w:rFonts w:cstheme="minorHAnsi"/>
          <w:sz w:val="20"/>
        </w:rPr>
      </w:pPr>
      <w:r w:rsidRPr="003D2AB7">
        <w:rPr>
          <w:rFonts w:cstheme="minorHAnsi"/>
          <w:sz w:val="20"/>
        </w:rPr>
        <w:t>To comply with the Commonwealth Government’s accessibility requirements, two versions of this Report are available: a KPMG-branded PDF version and an unbranded Microsoft Word version. The KPMG-branded PDF version of this Report remains the definitive version of this Report.</w:t>
      </w:r>
    </w:p>
    <w:p w14:paraId="6E19B467" w14:textId="77777777" w:rsidR="00273FB1" w:rsidRPr="003D2AB7" w:rsidRDefault="00273FB1" w:rsidP="00273FB1">
      <w:pPr>
        <w:spacing w:before="120" w:after="120" w:line="240" w:lineRule="auto"/>
        <w:rPr>
          <w:rFonts w:cstheme="minorHAnsi"/>
        </w:rPr>
      </w:pPr>
    </w:p>
    <w:p w14:paraId="6B2AB2A6" w14:textId="77777777" w:rsidR="000A5790" w:rsidRPr="003D2AB7" w:rsidRDefault="000A5790" w:rsidP="00273FB1">
      <w:pPr>
        <w:spacing w:before="120" w:after="120"/>
        <w:rPr>
          <w:rFonts w:cstheme="minorHAnsi"/>
          <w:sz w:val="20"/>
          <w:szCs w:val="20"/>
        </w:rPr>
      </w:pPr>
    </w:p>
    <w:sectPr w:rsidR="000A5790" w:rsidRPr="003D2AB7" w:rsidSect="00597060">
      <w:headerReference w:type="default" r:id="rId13"/>
      <w:pgSz w:w="11906" w:h="16838"/>
      <w:pgMar w:top="1418" w:right="709" w:bottom="1843" w:left="1701" w:header="568" w:footer="70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F1D93" w14:textId="77777777" w:rsidR="0026752F" w:rsidRDefault="0026752F" w:rsidP="00D649F6">
      <w:pPr>
        <w:spacing w:after="0" w:line="240" w:lineRule="auto"/>
      </w:pPr>
      <w:r>
        <w:separator/>
      </w:r>
    </w:p>
    <w:p w14:paraId="42AE50D7" w14:textId="77777777" w:rsidR="0026752F" w:rsidRDefault="0026752F"/>
  </w:endnote>
  <w:endnote w:type="continuationSeparator" w:id="0">
    <w:p w14:paraId="6839849E" w14:textId="77777777" w:rsidR="0026752F" w:rsidRDefault="0026752F" w:rsidP="00D649F6">
      <w:pPr>
        <w:spacing w:after="0" w:line="240" w:lineRule="auto"/>
      </w:pPr>
      <w:r>
        <w:continuationSeparator/>
      </w:r>
    </w:p>
    <w:p w14:paraId="01A18A14" w14:textId="77777777" w:rsidR="0026752F" w:rsidRDefault="0026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PMG Extralight">
    <w:altName w:val="Microsoft JhengHei Light"/>
    <w:charset w:val="00"/>
    <w:family w:val="swiss"/>
    <w:pitch w:val="variable"/>
    <w:sig w:usb0="00000001" w:usb1="00000000" w:usb2="00000000" w:usb3="00000000" w:csb0="00000093" w:csb1="00000000"/>
  </w:font>
  <w:font w:name="Univers 45 Light">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672856"/>
      <w:docPartObj>
        <w:docPartGallery w:val="Page Numbers (Bottom of Page)"/>
        <w:docPartUnique/>
      </w:docPartObj>
    </w:sdtPr>
    <w:sdtEndPr>
      <w:rPr>
        <w:rFonts w:ascii="Univers 45 Light" w:hAnsi="Univers 45 Light"/>
        <w:noProof/>
      </w:rPr>
    </w:sdtEndPr>
    <w:sdtContent>
      <w:p w14:paraId="609638F7" w14:textId="77777777" w:rsidR="0026752F" w:rsidRPr="000722AF" w:rsidRDefault="0026752F">
        <w:pPr>
          <w:pStyle w:val="Footer"/>
          <w:jc w:val="right"/>
          <w:rPr>
            <w:rFonts w:ascii="Univers 45 Light" w:hAnsi="Univers 45 Light"/>
          </w:rPr>
        </w:pPr>
        <w:r w:rsidRPr="000722AF">
          <w:rPr>
            <w:rFonts w:ascii="Univers 45 Light" w:hAnsi="Univers 45 Light"/>
            <w:noProof/>
            <w:color w:val="6D2077"/>
            <w:lang w:eastAsia="en-AU"/>
          </w:rPr>
          <mc:AlternateContent>
            <mc:Choice Requires="wps">
              <w:drawing>
                <wp:anchor distT="0" distB="0" distL="114300" distR="114300" simplePos="0" relativeHeight="251702271" behindDoc="1" locked="0" layoutInCell="1" allowOverlap="1" wp14:anchorId="17F55F5F" wp14:editId="3B58795B">
                  <wp:simplePos x="0" y="0"/>
                  <wp:positionH relativeFrom="margin">
                    <wp:align>center</wp:align>
                  </wp:positionH>
                  <wp:positionV relativeFrom="paragraph">
                    <wp:posOffset>-248530</wp:posOffset>
                  </wp:positionV>
                  <wp:extent cx="5531485" cy="560070"/>
                  <wp:effectExtent l="0" t="0" r="0" b="0"/>
                  <wp:wrapNone/>
                  <wp:docPr id="2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5531485" cy="560070"/>
                          </a:xfrm>
                          <a:prstGeom prst="rect">
                            <a:avLst/>
                          </a:prstGeom>
                          <a:solidFill>
                            <a:schemeClr val="bg1"/>
                          </a:solidFill>
                          <a:ln w="9525">
                            <a:noFill/>
                            <a:miter lim="800000"/>
                            <a:headEnd/>
                            <a:tailEnd/>
                          </a:ln>
                          <a:effectLst/>
                        </wps:spPr>
                        <wps:txbx>
                          <w:txbxContent>
                            <w:p w14:paraId="263825BD" w14:textId="77777777" w:rsidR="0026752F" w:rsidRPr="00116812" w:rsidRDefault="0026752F" w:rsidP="00135623">
                              <w:pPr>
                                <w:pStyle w:val="NormalWeb"/>
                                <w:spacing w:before="0" w:beforeAutospacing="0" w:after="0" w:afterAutospacing="0"/>
                                <w:jc w:val="center"/>
                                <w:rPr>
                                  <w:rFonts w:ascii="Univers 45 Light" w:hAnsi="Univers 45 Light"/>
                                </w:rPr>
                              </w:pPr>
                              <w:r w:rsidRPr="00116812">
                                <w:rPr>
                                  <w:rFonts w:ascii="Univers 45 Light" w:hAnsi="Univers 45 Light" w:cstheme="minorBidi"/>
                                  <w:color w:val="808080" w:themeColor="background1" w:themeShade="80"/>
                                  <w:kern w:val="24"/>
                                  <w:sz w:val="12"/>
                                  <w:szCs w:val="12"/>
                                </w:rPr>
                                <w:t>© 201</w:t>
                              </w:r>
                              <w:r>
                                <w:rPr>
                                  <w:rFonts w:ascii="Univers 45 Light" w:hAnsi="Univers 45 Light" w:cstheme="minorBidi"/>
                                  <w:color w:val="808080" w:themeColor="background1" w:themeShade="80"/>
                                  <w:kern w:val="24"/>
                                  <w:sz w:val="12"/>
                                  <w:szCs w:val="12"/>
                                </w:rPr>
                                <w:t>8</w:t>
                              </w:r>
                              <w:r w:rsidRPr="00116812">
                                <w:rPr>
                                  <w:rFonts w:ascii="Univers 45 Light" w:hAnsi="Univers 45 Light" w:cstheme="minorBidi"/>
                                  <w:color w:val="808080" w:themeColor="background1" w:themeShade="80"/>
                                  <w:kern w:val="24"/>
                                  <w:sz w:val="12"/>
                                  <w:szCs w:val="12"/>
                                </w:rPr>
                                <w:t xml:space="preserve"> KPMG, an Australian partnership and a member firm of the KPMG network of independent member firms affiliated with KPMG International Cooperative (“KPMG International”), a Swiss entity. All rights reserved. </w:t>
                              </w:r>
                              <w:r w:rsidRPr="00116812">
                                <w:rPr>
                                  <w:rFonts w:ascii="Univers 45 Light" w:hAnsi="Univers 45 Light" w:cstheme="minorBidi"/>
                                  <w:color w:val="808080" w:themeColor="background1" w:themeShade="80"/>
                                  <w:kern w:val="24"/>
                                  <w:sz w:val="12"/>
                                  <w:szCs w:val="12"/>
                                </w:rPr>
                                <w:br/>
                                <w:t>The KPMG name, logo and "cutting through complexity" are registered trademarks or trademarks of KPMG International. Liability limited by a scheme approved under Professional Standards Legislation.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7F55F5F" id="_x0000_t202" coordsize="21600,21600" o:spt="202" path="m,l,21600r21600,l21600,xe">
                  <v:stroke joinstyle="miter"/>
                  <v:path gradientshapeok="t" o:connecttype="rect"/>
                </v:shapetype>
                <v:shape id="Text Box 8" o:spid="_x0000_s1027" type="#_x0000_t202" style="position:absolute;left:0;text-align:left;margin-left:0;margin-top:-19.55pt;width:435.55pt;height:44.1pt;z-index:-2516142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MjBgIAAO0DAAAOAAAAZHJzL2Uyb0RvYy54bWysU9tu2zAMfR+wfxD0vtjJ5i414hRduw4D&#10;ugvQ7gNkSY6FSaImKbHz96NkJy3at2F+ECiKPCQPjzdXo9HkIH1QYBu6XJSUSMtBKLtr6K/Hu3dr&#10;SkJkVjANVjb0KAO92r59sxlcLVfQgxbSEwSxoR5cQ/sYXV0UgffSsLAAJy0+duANi3j1u0J4NiC6&#10;0cWqLC+KAbxwHrgMAb230yPdZvyukzz+6LogI9ENxd5iPn0+23QW2w2rd565XvG5DfYPXRimLBY9&#10;Q92yyMjeq1dQRnEPAbq44GAK6DrFZZ4Bp1mWL6Z56JmTeRYkJ7gzTeH/wfLvh5+eKNHQ1XJFiWUG&#10;l/Qox0g+wUjWiZ/BhRrDHhwGxhHduOc8a3D3wH8HYuGmZ3Ynr72HoZdMYH/LlFk8S51wQgJph28g&#10;sAzSfsxAY+dNIg/pIIiOezqed5Na4eisqvfLD+uKEo5v1UVZfszLK1h9ynY+xC8SDElGQz3uPqOz&#10;w32IqRtWn0JSsQBaiTuldb4kvckb7cmBoVLa3dT/iyhtydDQy2pVZWALKT0ryKiIMtbKNHRdpm8S&#10;ViLjsxU5JDKlJxsb0TZVlVmgc3eJq0TPRFQc2xHTkrMFcUTWBhRpQ8OfPfOSEv3VIstJ0SfDn4x2&#10;NlIFC9f7CJ3K8z+BzatBTWVaZv0n0T6/56inv3T7FwAA//8DAFBLAwQUAAYACAAAACEALBJL4d4A&#10;AAAHAQAADwAAAGRycy9kb3ducmV2LnhtbEyPQU/DMAyF70j8h8hI3La02wRbqTsNtJ4GEgwOO6ZN&#10;aKs1TtVka/vvMSe4+flZ731Ot6NtxdX0vnGEEM8jEIZKpxuqEL4+89kahA+KtGodGYTJeNhmtzep&#10;SrQb6MNcj6ESHEI+UQh1CF0ipS9rY5Wfu84Qe9+utyqw7CupezVwuG3lIooepFUNcUOtOvNSm/J8&#10;vFgEmvaH/HnaDcWQvy4P7/vTefG2Qry/G3dPIIIZw98x/OIzOmTMVLgLaS9aBH4kIMyWmxgE2+vH&#10;mIcCYcULmaXyP3/2AwAA//8DAFBLAQItABQABgAIAAAAIQC2gziS/gAAAOEBAAATAAAAAAAAAAAA&#10;AAAAAAAAAABbQ29udGVudF9UeXBlc10ueG1sUEsBAi0AFAAGAAgAAAAhADj9If/WAAAAlAEAAAsA&#10;AAAAAAAAAAAAAAAALwEAAF9yZWxzLy5yZWxzUEsBAi0AFAAGAAgAAAAhACq3AyMGAgAA7QMAAA4A&#10;AAAAAAAAAAAAAAAALgIAAGRycy9lMm9Eb2MueG1sUEsBAi0AFAAGAAgAAAAhACwSS+HeAAAABwEA&#10;AA8AAAAAAAAAAAAAAAAAYAQAAGRycy9kb3ducmV2LnhtbFBLBQYAAAAABAAEAPMAAABrBQAAAAA=&#10;" fillcolor="white [3212]" stroked="f">
                  <v:textbox inset="0,0,0,0">
                    <w:txbxContent>
                      <w:p w14:paraId="263825BD" w14:textId="77777777" w:rsidR="0026752F" w:rsidRPr="00116812" w:rsidRDefault="0026752F" w:rsidP="00135623">
                        <w:pPr>
                          <w:pStyle w:val="NormalWeb"/>
                          <w:spacing w:before="0" w:beforeAutospacing="0" w:after="0" w:afterAutospacing="0"/>
                          <w:jc w:val="center"/>
                          <w:rPr>
                            <w:rFonts w:ascii="Univers 45 Light" w:hAnsi="Univers 45 Light"/>
                          </w:rPr>
                        </w:pPr>
                        <w:r w:rsidRPr="00116812">
                          <w:rPr>
                            <w:rFonts w:ascii="Univers 45 Light" w:hAnsi="Univers 45 Light" w:cstheme="minorBidi"/>
                            <w:color w:val="808080" w:themeColor="background1" w:themeShade="80"/>
                            <w:kern w:val="24"/>
                            <w:sz w:val="12"/>
                            <w:szCs w:val="12"/>
                          </w:rPr>
                          <w:t>© 201</w:t>
                        </w:r>
                        <w:r>
                          <w:rPr>
                            <w:rFonts w:ascii="Univers 45 Light" w:hAnsi="Univers 45 Light" w:cstheme="minorBidi"/>
                            <w:color w:val="808080" w:themeColor="background1" w:themeShade="80"/>
                            <w:kern w:val="24"/>
                            <w:sz w:val="12"/>
                            <w:szCs w:val="12"/>
                          </w:rPr>
                          <w:t>8</w:t>
                        </w:r>
                        <w:r w:rsidRPr="00116812">
                          <w:rPr>
                            <w:rFonts w:ascii="Univers 45 Light" w:hAnsi="Univers 45 Light" w:cstheme="minorBidi"/>
                            <w:color w:val="808080" w:themeColor="background1" w:themeShade="80"/>
                            <w:kern w:val="24"/>
                            <w:sz w:val="12"/>
                            <w:szCs w:val="12"/>
                          </w:rPr>
                          <w:t xml:space="preserve"> KPMG, an Australian partnership and a member firm of the KPMG network of independent member firms affiliated with KPMG International Cooperative (“KPMG International”), a Swiss entity. All rights reserved. </w:t>
                        </w:r>
                        <w:r w:rsidRPr="00116812">
                          <w:rPr>
                            <w:rFonts w:ascii="Univers 45 Light" w:hAnsi="Univers 45 Light" w:cstheme="minorBidi"/>
                            <w:color w:val="808080" w:themeColor="background1" w:themeShade="80"/>
                            <w:kern w:val="24"/>
                            <w:sz w:val="12"/>
                            <w:szCs w:val="12"/>
                          </w:rPr>
                          <w:br/>
                          <w:t>The KPMG name, logo and "cutting through complexity" are registered trademarks or trademarks of KPMG International. Liability limited by a scheme approved under Professional Standards Legislation.</w:t>
                        </w:r>
                      </w:p>
                    </w:txbxContent>
                  </v:textbox>
                  <w10:wrap anchorx="margin"/>
                </v:shape>
              </w:pict>
            </mc:Fallback>
          </mc:AlternateContent>
        </w:r>
      </w:p>
    </w:sdtContent>
  </w:sdt>
  <w:p w14:paraId="7E144E84" w14:textId="77777777" w:rsidR="0026752F" w:rsidRDefault="00267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399187894"/>
      <w:docPartObj>
        <w:docPartGallery w:val="Page Numbers (Bottom of Page)"/>
        <w:docPartUnique/>
      </w:docPartObj>
    </w:sdtPr>
    <w:sdtEndPr>
      <w:rPr>
        <w:noProof/>
        <w:sz w:val="20"/>
      </w:rPr>
    </w:sdtEndPr>
    <w:sdtContent>
      <w:p w14:paraId="7C8BC13A" w14:textId="77777777" w:rsidR="0026752F" w:rsidRPr="00554F1B" w:rsidRDefault="0026752F">
        <w:pPr>
          <w:pStyle w:val="Footer"/>
          <w:jc w:val="right"/>
          <w:rPr>
            <w:rFonts w:cstheme="minorHAnsi"/>
            <w:sz w:val="20"/>
          </w:rPr>
        </w:pPr>
        <w:r w:rsidRPr="00554F1B">
          <w:rPr>
            <w:rFonts w:cstheme="minorHAnsi"/>
            <w:noProof/>
            <w:color w:val="6D2077"/>
            <w:sz w:val="18"/>
            <w:szCs w:val="18"/>
            <w:lang w:eastAsia="en-AU"/>
          </w:rPr>
          <mc:AlternateContent>
            <mc:Choice Requires="wps">
              <w:drawing>
                <wp:anchor distT="0" distB="0" distL="114300" distR="114300" simplePos="0" relativeHeight="251737088" behindDoc="1" locked="0" layoutInCell="1" allowOverlap="1" wp14:anchorId="1B7AE6E7" wp14:editId="54F8E05E">
                  <wp:simplePos x="0" y="0"/>
                  <wp:positionH relativeFrom="margin">
                    <wp:align>center</wp:align>
                  </wp:positionH>
                  <wp:positionV relativeFrom="paragraph">
                    <wp:posOffset>-248530</wp:posOffset>
                  </wp:positionV>
                  <wp:extent cx="5531485" cy="5600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5531485" cy="560070"/>
                          </a:xfrm>
                          <a:prstGeom prst="rect">
                            <a:avLst/>
                          </a:prstGeom>
                          <a:solidFill>
                            <a:schemeClr val="bg1"/>
                          </a:solidFill>
                          <a:ln w="9525">
                            <a:noFill/>
                            <a:miter lim="800000"/>
                            <a:headEnd/>
                            <a:tailEnd/>
                          </a:ln>
                          <a:effectLst/>
                        </wps:spPr>
                        <wps:txbx>
                          <w:txbxContent>
                            <w:p w14:paraId="06BF8D76" w14:textId="77777777" w:rsidR="0026752F" w:rsidRPr="00554F1B" w:rsidRDefault="0026752F" w:rsidP="00135623">
                              <w:pPr>
                                <w:pStyle w:val="NormalWeb"/>
                                <w:spacing w:before="0" w:beforeAutospacing="0" w:after="0" w:afterAutospacing="0"/>
                                <w:jc w:val="center"/>
                                <w:rPr>
                                  <w:rFonts w:asciiTheme="minorHAnsi" w:hAnsiTheme="minorHAnsi" w:cstheme="minorHAnsi"/>
                                </w:rPr>
                              </w:pPr>
                              <w:r w:rsidRPr="00554F1B">
                                <w:rPr>
                                  <w:rFonts w:asciiTheme="minorHAnsi" w:hAnsiTheme="minorHAnsi" w:cstheme="minorHAnsi"/>
                                  <w:color w:val="808080" w:themeColor="background1" w:themeShade="80"/>
                                  <w:kern w:val="24"/>
                                  <w:sz w:val="12"/>
                                  <w:szCs w:val="12"/>
                                </w:rPr>
                                <w:t>© 2018 KPMG, an Australian partnership and a member firm of the KPMG network of independent member firms affiliated with KPMG International Cooperative (“KPMG International”), a Swiss entity. All rights reserved.  The KPMG name, logo and "cutting through complexity" are registered trademarks or trademarks of KPMG International. Liability limited by a scheme approved under Professional Standards Legislation.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B7AE6E7" id="_x0000_t202" coordsize="21600,21600" o:spt="202" path="m,l,21600r21600,l21600,xe">
                  <v:stroke joinstyle="miter"/>
                  <v:path gradientshapeok="t" o:connecttype="rect"/>
                </v:shapetype>
                <v:shape id="_x0000_s1028" type="#_x0000_t202" style="position:absolute;left:0;text-align:left;margin-left:0;margin-top:-19.55pt;width:435.55pt;height:44.1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5nBwIAAPIDAAAOAAAAZHJzL2Uyb0RvYy54bWysU9Fu2yAUfZ+0f0C8L3bSucusOFXXrtOk&#10;dpvU7gMw4BgNuAxI7Pz9LthJq+5tmh/QBS7nnnvu8eZqNJocpA8KbEOXi5ISaTkIZXcN/fl0925N&#10;SYjMCqbByoYeZaBX27dvNoOr5Qp60EJ6giA21INraB+jq4si8F4aFhbgpMXLDrxhEbd+VwjPBkQ3&#10;uliV5WUxgBfOA5ch4OntdEm3Gb/rJI/fuy7ISHRDkVvMq89rm9Ziu2H1zjPXKz7TYP/AwjBlsegZ&#10;6pZFRvZe/QVlFPcQoIsLDqaArlNc5h6wm2X5qpvHnjmZe0FxgjvLFP4fLP92+OGJEg29oMQygyN6&#10;kmMkn2Ak66TO4EKNSY8O0+KIxzjl3Glw98B/BWLhpmd2J6+9h6GXTCC7ZXpZvHg64YQE0g4PILAM&#10;in7MQGPnTZIOxSCIjlM6nieTqHA8rKqL5ft1RQnHu+qyLD/k0RWsPr12PsQvEgxJQUM9Tj6js8N9&#10;iIkNq08pqVgArcSd0jpvktvkjfbkwNAn7W7i/ypLWzI09GO1qjKwhfQ8+8eoiCbWyjR0XaZvslUS&#10;47MVOSUypacYiWibqspsz5ld0irJMwkVx3bMQ8lE0l0L4ojiDejUhobfe+YlJfqrRbGTrU+BPwXt&#10;HKRCFq73ETqVZXgGmyeExsrqzD9Bcu7Lfc56/lW3fwAAAP//AwBQSwMEFAAGAAgAAAAhACwSS+He&#10;AAAABwEAAA8AAABkcnMvZG93bnJldi54bWxMj0FPwzAMhe9I/IfISNy2tNsEW6k7DbSeBhIMDjum&#10;TWirNU7VZGv77zEnuPn5We99TrejbcXV9L5xhBDPIxCGSqcbqhC+PvPZGoQPirRqHRmEyXjYZrc3&#10;qUq0G+jDXI+hEhxCPlEIdQhdIqUva2OVn7vOEHvfrrcqsOwrqXs1cLht5SKKHqRVDXFDrTrzUpvy&#10;fLxYBJr2h/x52g3FkL8uD+/703nxtkK8vxt3TyCCGcPfMfziMzpkzFS4C2kvWgR+JCDMlpsYBNvr&#10;x5iHAmHFC5ml8j9/9gMAAP//AwBQSwECLQAUAAYACAAAACEAtoM4kv4AAADhAQAAEwAAAAAAAAAA&#10;AAAAAAAAAAAAW0NvbnRlbnRfVHlwZXNdLnhtbFBLAQItABQABgAIAAAAIQA4/SH/1gAAAJQBAAAL&#10;AAAAAAAAAAAAAAAAAC8BAABfcmVscy8ucmVsc1BLAQItABQABgAIAAAAIQDLFq5nBwIAAPIDAAAO&#10;AAAAAAAAAAAAAAAAAC4CAABkcnMvZTJvRG9jLnhtbFBLAQItABQABgAIAAAAIQAsEkvh3gAAAAcB&#10;AAAPAAAAAAAAAAAAAAAAAGEEAABkcnMvZG93bnJldi54bWxQSwUGAAAAAAQABADzAAAAbAUAAAAA&#10;" fillcolor="white [3212]" stroked="f">
                  <v:textbox inset="0,0,0,0">
                    <w:txbxContent>
                      <w:p w14:paraId="06BF8D76" w14:textId="77777777" w:rsidR="0026752F" w:rsidRPr="00554F1B" w:rsidRDefault="0026752F" w:rsidP="00135623">
                        <w:pPr>
                          <w:pStyle w:val="NormalWeb"/>
                          <w:spacing w:before="0" w:beforeAutospacing="0" w:after="0" w:afterAutospacing="0"/>
                          <w:jc w:val="center"/>
                          <w:rPr>
                            <w:rFonts w:asciiTheme="minorHAnsi" w:hAnsiTheme="minorHAnsi" w:cstheme="minorHAnsi"/>
                          </w:rPr>
                        </w:pPr>
                        <w:r w:rsidRPr="00554F1B">
                          <w:rPr>
                            <w:rFonts w:asciiTheme="minorHAnsi" w:hAnsiTheme="minorHAnsi" w:cstheme="minorHAnsi"/>
                            <w:color w:val="808080" w:themeColor="background1" w:themeShade="80"/>
                            <w:kern w:val="24"/>
                            <w:sz w:val="12"/>
                            <w:szCs w:val="12"/>
                          </w:rPr>
                          <w:t>© 2018 KPMG, an Australian partnership and a member firm of the KPMG network of independent member firms affiliated with KPMG International Cooperative (“KPMG International”), a Swiss entity. All rights reserved.  The KPMG name, logo and "cutting through complexity" are registered trademarks or trademarks of KPMG International. Liability limited by a scheme approved under Professional Standards Legislation.</w:t>
                        </w:r>
                      </w:p>
                    </w:txbxContent>
                  </v:textbox>
                  <w10:wrap anchorx="margin"/>
                </v:shape>
              </w:pict>
            </mc:Fallback>
          </mc:AlternateContent>
        </w:r>
        <w:r w:rsidRPr="00554F1B">
          <w:rPr>
            <w:rFonts w:cstheme="minorHAnsi"/>
            <w:sz w:val="18"/>
            <w:szCs w:val="18"/>
          </w:rPr>
          <w:fldChar w:fldCharType="begin"/>
        </w:r>
        <w:r w:rsidRPr="00554F1B">
          <w:rPr>
            <w:rFonts w:cstheme="minorHAnsi"/>
            <w:sz w:val="18"/>
            <w:szCs w:val="18"/>
          </w:rPr>
          <w:instrText xml:space="preserve"> PAGE   \* MERGEFORMAT </w:instrText>
        </w:r>
        <w:r w:rsidRPr="00554F1B">
          <w:rPr>
            <w:rFonts w:cstheme="minorHAnsi"/>
            <w:sz w:val="18"/>
            <w:szCs w:val="18"/>
          </w:rPr>
          <w:fldChar w:fldCharType="separate"/>
        </w:r>
        <w:r w:rsidR="00491FC1">
          <w:rPr>
            <w:rFonts w:cstheme="minorHAnsi"/>
            <w:noProof/>
            <w:sz w:val="18"/>
            <w:szCs w:val="18"/>
          </w:rPr>
          <w:t>2</w:t>
        </w:r>
        <w:r w:rsidRPr="00554F1B">
          <w:rPr>
            <w:rFonts w:cstheme="minorHAnsi"/>
            <w:noProof/>
            <w:sz w:val="18"/>
            <w:szCs w:val="18"/>
          </w:rPr>
          <w:fldChar w:fldCharType="end"/>
        </w:r>
      </w:p>
    </w:sdtContent>
  </w:sdt>
  <w:p w14:paraId="1880DAA3" w14:textId="77777777" w:rsidR="0026752F" w:rsidRPr="00554F1B" w:rsidRDefault="0026752F">
    <w:pPr>
      <w:pStyle w:val="Footer"/>
      <w:rPr>
        <w:rFonts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AB916" w14:textId="77777777" w:rsidR="0026752F" w:rsidRDefault="0026752F" w:rsidP="00D649F6">
      <w:pPr>
        <w:spacing w:after="0" w:line="240" w:lineRule="auto"/>
      </w:pPr>
      <w:r>
        <w:separator/>
      </w:r>
    </w:p>
    <w:p w14:paraId="62CB6758" w14:textId="77777777" w:rsidR="0026752F" w:rsidRDefault="0026752F"/>
  </w:footnote>
  <w:footnote w:type="continuationSeparator" w:id="0">
    <w:p w14:paraId="676832DA" w14:textId="77777777" w:rsidR="0026752F" w:rsidRDefault="0026752F" w:rsidP="00D649F6">
      <w:pPr>
        <w:spacing w:after="0" w:line="240" w:lineRule="auto"/>
      </w:pPr>
      <w:r>
        <w:continuationSeparator/>
      </w:r>
    </w:p>
    <w:p w14:paraId="2373BBA0" w14:textId="77777777" w:rsidR="0026752F" w:rsidRDefault="002675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45AC" w14:textId="5C72FA9F" w:rsidR="0026752F" w:rsidRDefault="003D2AB7" w:rsidP="007F2D97">
    <w:pPr>
      <w:pStyle w:val="Header"/>
      <w:tabs>
        <w:tab w:val="clear" w:pos="4513"/>
        <w:tab w:val="clear" w:pos="9026"/>
        <w:tab w:val="center" w:pos="6979"/>
      </w:tabs>
    </w:pPr>
    <w:r>
      <w:rPr>
        <w:noProof/>
        <w:lang w:eastAsia="en-AU"/>
      </w:rPr>
      <w:drawing>
        <wp:anchor distT="0" distB="0" distL="114300" distR="114300" simplePos="0" relativeHeight="251739136" behindDoc="1" locked="0" layoutInCell="1" allowOverlap="1" wp14:anchorId="42057B1B" wp14:editId="7E76470F">
          <wp:simplePos x="0" y="0"/>
          <wp:positionH relativeFrom="page">
            <wp:posOffset>0</wp:posOffset>
          </wp:positionH>
          <wp:positionV relativeFrom="paragraph">
            <wp:posOffset>-362585</wp:posOffset>
          </wp:positionV>
          <wp:extent cx="7553325" cy="1109599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095990"/>
                  </a:xfrm>
                  <a:prstGeom prst="rect">
                    <a:avLst/>
                  </a:prstGeom>
                  <a:noFill/>
                </pic:spPr>
              </pic:pic>
            </a:graphicData>
          </a:graphic>
          <wp14:sizeRelH relativeFrom="page">
            <wp14:pctWidth>0</wp14:pctWidth>
          </wp14:sizeRelH>
          <wp14:sizeRelV relativeFrom="page">
            <wp14:pctHeight>0</wp14:pctHeight>
          </wp14:sizeRelV>
        </wp:anchor>
      </w:drawing>
    </w:r>
    <w:r w:rsidR="0026752F" w:rsidRPr="00FE5CC3">
      <w:t xml:space="preserve"> </w:t>
    </w:r>
    <w:r w:rsidR="0026752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33888" w14:textId="6B497CC3" w:rsidR="0026752F" w:rsidRPr="0000278E" w:rsidRDefault="0026752F" w:rsidP="00A14666">
    <w:pPr>
      <w:pStyle w:val="Header"/>
      <w:jc w:val="right"/>
      <w:rPr>
        <w:rFonts w:ascii="Univers 45 Light" w:hAnsi="Univers 45 Light"/>
        <w:i/>
        <w:sz w:val="16"/>
      </w:rPr>
    </w:pPr>
    <w:r w:rsidRPr="0000278E">
      <w:rPr>
        <w:noProof/>
        <w:color w:val="005EB8"/>
        <w:sz w:val="20"/>
        <w:lang w:eastAsia="en-AU"/>
      </w:rPr>
      <mc:AlternateContent>
        <mc:Choice Requires="wps">
          <w:drawing>
            <wp:anchor distT="0" distB="0" distL="114300" distR="114300" simplePos="0" relativeHeight="251706368" behindDoc="1" locked="0" layoutInCell="1" allowOverlap="1" wp14:anchorId="539AC3C7" wp14:editId="73557C9C">
              <wp:simplePos x="0" y="0"/>
              <wp:positionH relativeFrom="page">
                <wp:posOffset>-146</wp:posOffset>
              </wp:positionH>
              <wp:positionV relativeFrom="page">
                <wp:posOffset>14068</wp:posOffset>
              </wp:positionV>
              <wp:extent cx="786809" cy="10671858"/>
              <wp:effectExtent l="0" t="0" r="0" b="0"/>
              <wp:wrapTight wrapText="bothSides">
                <wp:wrapPolygon edited="0">
                  <wp:start x="0" y="0"/>
                  <wp:lineTo x="0" y="21554"/>
                  <wp:lineTo x="20920" y="21554"/>
                  <wp:lineTo x="20920" y="0"/>
                  <wp:lineTo x="0" y="0"/>
                </wp:wrapPolygon>
              </wp:wrapTight>
              <wp:docPr id="30" name="Rectangle 30"/>
              <wp:cNvGraphicFramePr/>
              <a:graphic xmlns:a="http://schemas.openxmlformats.org/drawingml/2006/main">
                <a:graphicData uri="http://schemas.microsoft.com/office/word/2010/wordprocessingShape">
                  <wps:wsp>
                    <wps:cNvSpPr/>
                    <wps:spPr>
                      <a:xfrm>
                        <a:off x="0" y="0"/>
                        <a:ext cx="786809" cy="1067185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C2CBA" id="Rectangle 30" o:spid="_x0000_s1026" style="position:absolute;margin-left:0;margin-top:1.1pt;width:61.95pt;height:840.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IllwIAAIgFAAAOAAAAZHJzL2Uyb0RvYy54bWysVE1v2zAMvQ/YfxB0X22nH0mDOkXQosOA&#10;oivaDj0rshQbkEWNUuJkv36U7LhdW+wwLAdFFMlH8pnkxeWuNWyr0DdgS14c5ZwpK6Fq7LrkP55u&#10;vsw480HYShiwquR75fnl4vOni87N1QRqMJVCRiDWzztX8joEN88yL2vVCn8ETllSasBWBBJxnVUo&#10;OkJvTTbJ87OsA6wcglTe0+t1r+SLhK+1kuG71l4FZkpOuYV0YjpX8cwWF2K+RuHqRg5piH/IohWN&#10;paAj1LUIgm2weQfVNhLBgw5HEtoMtG6kSjVQNUX+pprHWjiVaiFyvBtp8v8PVt5t75E1VcmPiR4r&#10;WvpGD8SasGujGL0RQZ3zc7J7dPc4SJ6usdqdxjb+Ux1sl0jdj6SqXWCSHqezs1l+zpkkVZGfTYvZ&#10;6SyiZi/uDn34qqBl8VJypPiJTLG99aE3PZjEaB5MU900xiQB16srg2wr6AtP8+N8mXIm9D/MjI3G&#10;FqJbjxhfslhaX0y6hb1R0c7YB6WJFUp/kjJJ/ajGOEJKZUPRq2pRqT78aU6/obbRI1WaACOypvgj&#10;9gAQe/09dp/lYB9dVWrn0Tn/W2K98+iRIoMNo3PbWMCPAAxVNUTu7Q8k9dREllZQ7alnEPph8k7e&#10;NPTdboUP9wJpeqiRaCOE73RoA13JYbhxVgP++ug92lNTk5azjqax5P7nRqDizHyz1O7nxclJHN8k&#10;nJxOJyTga83qtcZu2iugdiho9ziZrtE+mMNVI7TPtDiWMSqphJUUu+Qy4EG4Cv2WoNUj1XKZzGhk&#10;nQi39tHJCB5ZjX35tHsW6IbmDdT3d3CYXDF/08O9bfS0sNwE0E1q8BdeB75p3FPjDKsp7pPXcrJ6&#10;WaCL3wAAAP//AwBQSwMEFAAGAAgAAAAhAPjBzerdAAAABwEAAA8AAABkcnMvZG93bnJldi54bWxM&#10;j8FOwzAQRO9I/IO1SNyog6miNM2mAiS4FakFCfXmxtskEK8j223D3+Oe4LajGc28rVaTHcSJfOgd&#10;I9zPMhDEjTM9twgf7y93BYgQNRs9OCaEHwqwqq+vKl0ad+YNnbaxFamEQ6kRuhjHUsrQdGR1mLmR&#10;OHkH562OSfpWGq/PqdwOUmVZLq3uOS10eqTnjprv7dEi+NfPfD5v7GLn1Xp8etusze4rIt7eTI9L&#10;EJGm+BeGC35Chzox7d2RTRADQnokIigF4mKqhwWIfTryQhUg60r+569/AQAA//8DAFBLAQItABQA&#10;BgAIAAAAIQC2gziS/gAAAOEBAAATAAAAAAAAAAAAAAAAAAAAAABbQ29udGVudF9UeXBlc10ueG1s&#10;UEsBAi0AFAAGAAgAAAAhADj9If/WAAAAlAEAAAsAAAAAAAAAAAAAAAAALwEAAF9yZWxzLy5yZWxz&#10;UEsBAi0AFAAGAAgAAAAhADh5ciWXAgAAiAUAAA4AAAAAAAAAAAAAAAAALgIAAGRycy9lMm9Eb2Mu&#10;eG1sUEsBAi0AFAAGAAgAAAAhAPjBzerdAAAABwEAAA8AAAAAAAAAAAAAAAAA8QQAAGRycy9kb3du&#10;cmV2LnhtbFBLBQYAAAAABAAEAPMAAAD7BQAAAAA=&#10;" fillcolor="#7030a0" stroked="f" strokeweight="1pt">
              <w10:wrap type="tight" anchorx="page" anchory="page"/>
            </v:rect>
          </w:pict>
        </mc:Fallback>
      </mc:AlternateContent>
    </w:r>
    <w:r w:rsidRPr="00B310F1">
      <w:rPr>
        <w:rFonts w:ascii="Univers 45 Light" w:hAnsi="Univers 45 Light"/>
        <w:i/>
        <w:sz w:val="16"/>
      </w:rPr>
      <w:t xml:space="preserve">Review of State Priority Projects – </w:t>
    </w:r>
    <w:r w:rsidRPr="006D34F1">
      <w:rPr>
        <w:rFonts w:ascii="Univers 45 Light" w:hAnsi="Univers 45 Light"/>
        <w:i/>
        <w:sz w:val="16"/>
      </w:rPr>
      <w:t>Irrigated Farm Modernisation Project</w:t>
    </w:r>
  </w:p>
  <w:p w14:paraId="073C9E1D" w14:textId="77777777" w:rsidR="0026752F" w:rsidRPr="0000278E" w:rsidRDefault="0026752F" w:rsidP="00A14666">
    <w:pPr>
      <w:pStyle w:val="Header"/>
      <w:jc w:val="right"/>
      <w:rPr>
        <w:rFonts w:ascii="Univers 45 Light" w:hAnsi="Univers 45 Light"/>
        <w:i/>
        <w:sz w:val="16"/>
      </w:rPr>
    </w:pPr>
    <w:r w:rsidRPr="0000278E">
      <w:rPr>
        <w:rFonts w:ascii="Univers 45 Light" w:hAnsi="Univers 45 Light"/>
        <w:i/>
        <w:sz w:val="16"/>
      </w:rPr>
      <w:t xml:space="preserve">Department of </w:t>
    </w:r>
    <w:r>
      <w:rPr>
        <w:rFonts w:ascii="Univers 45 Light" w:hAnsi="Univers 45 Light"/>
        <w:i/>
        <w:sz w:val="16"/>
      </w:rPr>
      <w:t>Agriculture and Water Resources</w:t>
    </w:r>
  </w:p>
  <w:p w14:paraId="3B8A76CF" w14:textId="6248F575" w:rsidR="0026752F" w:rsidRPr="00B310F1" w:rsidRDefault="0026752F" w:rsidP="00A14666">
    <w:pPr>
      <w:pStyle w:val="Header"/>
      <w:jc w:val="right"/>
    </w:pPr>
    <w:r>
      <w:rPr>
        <w:rFonts w:ascii="Univers 45 Light" w:hAnsi="Univers 45 Light"/>
        <w:i/>
        <w:noProof/>
        <w:sz w:val="16"/>
        <w:lang w:eastAsia="en-AU"/>
      </w:rPr>
      <w:t>December</w:t>
    </w:r>
    <w:r w:rsidRPr="0000278E">
      <w:rPr>
        <w:rFonts w:ascii="Univers 45 Light" w:hAnsi="Univers 45 Light"/>
        <w:i/>
        <w:sz w:val="16"/>
      </w:rPr>
      <w:t xml:space="preserve"> 201</w:t>
    </w:r>
    <w:r>
      <w:rPr>
        <w:rFonts w:ascii="Univers 45 Light" w:hAnsi="Univers 45 Light"/>
        <w:i/>
        <w:sz w:val="16"/>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6FCC" w14:textId="66D16FD9" w:rsidR="0026752F" w:rsidRPr="003D2AB7" w:rsidRDefault="0026752F" w:rsidP="00A14666">
    <w:pPr>
      <w:pStyle w:val="Header"/>
      <w:jc w:val="right"/>
      <w:rPr>
        <w:rFonts w:cstheme="minorHAnsi"/>
        <w:i/>
        <w:sz w:val="16"/>
      </w:rPr>
    </w:pPr>
    <w:r w:rsidRPr="003D2AB7">
      <w:rPr>
        <w:rFonts w:cstheme="minorHAnsi"/>
        <w:i/>
        <w:sz w:val="16"/>
      </w:rPr>
      <w:t>Review of State Priority Projects – Irrigated Farm Modernisation Project</w:t>
    </w:r>
  </w:p>
  <w:p w14:paraId="5DB9A46C" w14:textId="77777777" w:rsidR="0026752F" w:rsidRPr="003D2AB7" w:rsidRDefault="0026752F" w:rsidP="00A14666">
    <w:pPr>
      <w:pStyle w:val="Header"/>
      <w:jc w:val="right"/>
      <w:rPr>
        <w:rFonts w:cstheme="minorHAnsi"/>
        <w:i/>
        <w:sz w:val="16"/>
      </w:rPr>
    </w:pPr>
    <w:r w:rsidRPr="003D2AB7">
      <w:rPr>
        <w:rFonts w:cstheme="minorHAnsi"/>
        <w:i/>
        <w:sz w:val="16"/>
      </w:rPr>
      <w:t>Department of Agriculture and Water Resources</w:t>
    </w:r>
  </w:p>
  <w:p w14:paraId="35E5AFBC" w14:textId="0E2664ED" w:rsidR="0026752F" w:rsidRPr="003D2AB7" w:rsidRDefault="0026752F" w:rsidP="00A14666">
    <w:pPr>
      <w:pStyle w:val="Header"/>
      <w:jc w:val="right"/>
      <w:rPr>
        <w:rFonts w:cstheme="minorHAnsi"/>
      </w:rPr>
    </w:pPr>
    <w:r w:rsidRPr="003D2AB7">
      <w:rPr>
        <w:rFonts w:cstheme="minorHAnsi"/>
        <w:i/>
        <w:sz w:val="16"/>
      </w:rPr>
      <w:t>December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5EDE" w14:textId="797C3ACC" w:rsidR="0026752F" w:rsidRPr="003D2AB7" w:rsidRDefault="0026752F" w:rsidP="00A14666">
    <w:pPr>
      <w:pStyle w:val="Header"/>
      <w:jc w:val="right"/>
      <w:rPr>
        <w:rFonts w:cstheme="minorHAnsi"/>
        <w:i/>
        <w:sz w:val="16"/>
      </w:rPr>
    </w:pPr>
    <w:r w:rsidRPr="003D2AB7">
      <w:rPr>
        <w:rFonts w:cstheme="minorHAnsi"/>
        <w:noProof/>
        <w:color w:val="005EB8"/>
        <w:sz w:val="20"/>
        <w:lang w:eastAsia="en-AU"/>
      </w:rPr>
      <mc:AlternateContent>
        <mc:Choice Requires="wps">
          <w:drawing>
            <wp:anchor distT="0" distB="0" distL="114300" distR="114300" simplePos="0" relativeHeight="251703296" behindDoc="1" locked="0" layoutInCell="1" allowOverlap="1" wp14:anchorId="74A8574A" wp14:editId="7929AB1D">
              <wp:simplePos x="0" y="0"/>
              <wp:positionH relativeFrom="page">
                <wp:posOffset>-1905</wp:posOffset>
              </wp:positionH>
              <wp:positionV relativeFrom="page">
                <wp:posOffset>0</wp:posOffset>
              </wp:positionV>
              <wp:extent cx="808074" cy="20307869"/>
              <wp:effectExtent l="0" t="0" r="0" b="0"/>
              <wp:wrapTight wrapText="bothSides">
                <wp:wrapPolygon edited="0">
                  <wp:start x="0" y="0"/>
                  <wp:lineTo x="0" y="21580"/>
                  <wp:lineTo x="20887" y="21580"/>
                  <wp:lineTo x="20887" y="0"/>
                  <wp:lineTo x="0" y="0"/>
                </wp:wrapPolygon>
              </wp:wrapTight>
              <wp:docPr id="8" name="Rectangle 8"/>
              <wp:cNvGraphicFramePr/>
              <a:graphic xmlns:a="http://schemas.openxmlformats.org/drawingml/2006/main">
                <a:graphicData uri="http://schemas.microsoft.com/office/word/2010/wordprocessingShape">
                  <wps:wsp>
                    <wps:cNvSpPr/>
                    <wps:spPr>
                      <a:xfrm>
                        <a:off x="0" y="0"/>
                        <a:ext cx="808074" cy="2030786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105E5" id="Rectangle 8" o:spid="_x0000_s1026" style="position:absolute;margin-left:-.15pt;margin-top:0;width:63.65pt;height:1599.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9klQIAAIYFAAAOAAAAZHJzL2Uyb0RvYy54bWysVMFu2zAMvQ/YPwi6r3aytEmDOkWQosOA&#10;oi3aDj0rshQbkEWNUuJkXz9KdtyuLXYYloMimuQj+UTy4nLfGLZT6GuwBR+d5JwpK6Gs7abgP56u&#10;v8w480HYUhiwquAH5fnl4vOni9bN1RgqMKVCRiDWz1tX8CoEN88yLyvVCH8CTllSasBGBBJxk5Uo&#10;WkJvTDbO87OsBSwdglTe09erTskXCV9rJcOd1l4FZgpOuYV0YjrX8cwWF2K+QeGqWvZpiH/IohG1&#10;paAD1JUIgm2xfgfV1BLBgw4nEpoMtK6lSjVQNaP8TTWPlXAq1ULkeDfQ5P8frLzd3SOry4LTQ1nR&#10;0BM9EGnCboxis0hP6/ycrB7dPfaSp2usda+xif9UBdsnSg8DpWofmKSPs3yWTyecSVKN86/5dHZ2&#10;HlGzF3eHPnxT0LB4KThS+ESl2N340JkeTWI0D6Yur2tjkoCb9cog24n4vvk0X6UnJfQ/zIyNxhai&#10;W4cYv2SxtK6YdAsHo6KdsQ9KEyeU/jhlkrpRDXGElMqGUaeqRKm68Kc5/fraBo9UaQKMyJriD9g9&#10;QOz099hdlr19dFWpmQfn/G+Jdc6DR4oMNgzOTW0BPwIwVFUfubM/ktRRE1laQ3mgjkHoRsk7eV3T&#10;u90IH+4F0uzQlNE+CHd0aANtwaG/cVYB/vroe7SnliYtZy3NYsH9z61AxZn5bqnZz0eTSRzeJExO&#10;p2MS8LVm/Vpjt80KqB1GtHmcTNdoH8zxqhGaZ1obyxiVVMJKil1wGfAorEK3I2jxSLVcJjMaWCfC&#10;jX10MoJHVmNfPu2fBbq+eQP1/S0c51bM3/RwZxs9LSy3AXSdGvyF155vGvbUOP1iitvktZysXtbn&#10;4jcAAAD//wMAUEsDBBQABgAIAAAAIQBFgDhc4AAAAAcBAAAPAAAAZHJzL2Rvd25yZXYueG1sTI9B&#10;T8JAEIXvJv6HzZh4MbAtGMDaLVET9YISgRiOS3doq93ZZneB+u8dTnp7k/fy3jf5vLetOKIPjSMF&#10;6TABgVQ601ClYLN+HsxAhKjJ6NYRKvjBAPPi8iLXmXEn+sDjKlaCSyhkWkEdY5dJGcoarQ5D1yGx&#10;t3fe6sinr6Tx+sTltpWjJJlIqxvihVp3+FRj+b06WAXbzfrt9tEvv7b7l8XnxL3ja6hulLq+6h/u&#10;QUTs418YzviMDgUz7dyBTBCtgsGYgwr4n7M5mrLYKRind7MUZJHL//zFLwAAAP//AwBQSwECLQAU&#10;AAYACAAAACEAtoM4kv4AAADhAQAAEwAAAAAAAAAAAAAAAAAAAAAAW0NvbnRlbnRfVHlwZXNdLnht&#10;bFBLAQItABQABgAIAAAAIQA4/SH/1gAAAJQBAAALAAAAAAAAAAAAAAAAAC8BAABfcmVscy8ucmVs&#10;c1BLAQItABQABgAIAAAAIQCC3t9klQIAAIYFAAAOAAAAAAAAAAAAAAAAAC4CAABkcnMvZTJvRG9j&#10;LnhtbFBLAQItABQABgAIAAAAIQBFgDhc4AAAAAcBAAAPAAAAAAAAAAAAAAAAAO8EAABkcnMvZG93&#10;bnJldi54bWxQSwUGAAAAAAQABADzAAAA/AUAAAAA&#10;" fillcolor="#0070c0" stroked="f" strokeweight="1pt">
              <w10:wrap type="tight" anchorx="page" anchory="page"/>
            </v:rect>
          </w:pict>
        </mc:Fallback>
      </mc:AlternateContent>
    </w:r>
    <w:r w:rsidRPr="003D2AB7">
      <w:rPr>
        <w:rFonts w:cstheme="minorHAnsi"/>
        <w:i/>
        <w:sz w:val="16"/>
      </w:rPr>
      <w:t>Review of State Priority Projects – Irrigated Farm Modernisation Project</w:t>
    </w:r>
  </w:p>
  <w:p w14:paraId="14B423E6" w14:textId="77777777" w:rsidR="0026752F" w:rsidRPr="003D2AB7" w:rsidRDefault="0026752F" w:rsidP="00A14666">
    <w:pPr>
      <w:pStyle w:val="Header"/>
      <w:jc w:val="right"/>
      <w:rPr>
        <w:rFonts w:cstheme="minorHAnsi"/>
        <w:i/>
        <w:sz w:val="16"/>
      </w:rPr>
    </w:pPr>
    <w:r w:rsidRPr="003D2AB7">
      <w:rPr>
        <w:rFonts w:cstheme="minorHAnsi"/>
        <w:i/>
        <w:sz w:val="16"/>
      </w:rPr>
      <w:t>Department of Agriculture and Water Resources</w:t>
    </w:r>
  </w:p>
  <w:p w14:paraId="5DD1D957" w14:textId="71FAA3EC" w:rsidR="0026752F" w:rsidRPr="003D2AB7" w:rsidRDefault="0026752F" w:rsidP="00A14666">
    <w:pPr>
      <w:pStyle w:val="Header"/>
      <w:jc w:val="right"/>
      <w:rPr>
        <w:rFonts w:cstheme="minorHAnsi"/>
        <w:i/>
        <w:sz w:val="16"/>
      </w:rPr>
    </w:pPr>
    <w:r w:rsidRPr="003D2AB7">
      <w:rPr>
        <w:rFonts w:cstheme="minorHAnsi"/>
        <w:i/>
        <w:sz w:val="16"/>
      </w:rPr>
      <w:t>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90D"/>
    <w:multiLevelType w:val="singleLevel"/>
    <w:tmpl w:val="DD9EAAA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1622F08"/>
    <w:multiLevelType w:val="multilevel"/>
    <w:tmpl w:val="00B6B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4617AC"/>
    <w:multiLevelType w:val="singleLevel"/>
    <w:tmpl w:val="E9946F0E"/>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6C2786B"/>
    <w:multiLevelType w:val="hybridMultilevel"/>
    <w:tmpl w:val="F16C855A"/>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4" w15:restartNumberingAfterBreak="0">
    <w:nsid w:val="0BE3481C"/>
    <w:multiLevelType w:val="singleLevel"/>
    <w:tmpl w:val="4BEC18AE"/>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106B1A3C"/>
    <w:multiLevelType w:val="singleLevel"/>
    <w:tmpl w:val="A920B996"/>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0D44526"/>
    <w:multiLevelType w:val="singleLevel"/>
    <w:tmpl w:val="0B26213A"/>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10C3CFD"/>
    <w:multiLevelType w:val="hybridMultilevel"/>
    <w:tmpl w:val="0F1C02F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452A78"/>
    <w:multiLevelType w:val="hybridMultilevel"/>
    <w:tmpl w:val="13F62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9578C2"/>
    <w:multiLevelType w:val="singleLevel"/>
    <w:tmpl w:val="DAF2F6F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7816F21"/>
    <w:multiLevelType w:val="singleLevel"/>
    <w:tmpl w:val="3B4C4E16"/>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E460D16"/>
    <w:multiLevelType w:val="singleLevel"/>
    <w:tmpl w:val="306E31A0"/>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2897631D"/>
    <w:multiLevelType w:val="singleLevel"/>
    <w:tmpl w:val="8AC2BCF4"/>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306B3407"/>
    <w:multiLevelType w:val="hybridMultilevel"/>
    <w:tmpl w:val="450C5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A70F44"/>
    <w:multiLevelType w:val="singleLevel"/>
    <w:tmpl w:val="BE56606C"/>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45CF4838"/>
    <w:multiLevelType w:val="singleLevel"/>
    <w:tmpl w:val="6A7E035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50F57B37"/>
    <w:multiLevelType w:val="singleLevel"/>
    <w:tmpl w:val="8A382C3E"/>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64735E22"/>
    <w:multiLevelType w:val="singleLevel"/>
    <w:tmpl w:val="A44C9FF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606386F"/>
    <w:multiLevelType w:val="hybridMultilevel"/>
    <w:tmpl w:val="6A98B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4631E1"/>
    <w:multiLevelType w:val="singleLevel"/>
    <w:tmpl w:val="FECA3D80"/>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75CE2F54"/>
    <w:multiLevelType w:val="singleLevel"/>
    <w:tmpl w:val="4C4A1BB8"/>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7A6E20CD"/>
    <w:multiLevelType w:val="multilevel"/>
    <w:tmpl w:val="9BA6A5E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b/>
        <w:color w:val="005EB8"/>
      </w:rPr>
    </w:lvl>
    <w:lvl w:ilvl="2">
      <w:start w:val="1"/>
      <w:numFmt w:val="decimal"/>
      <w:lvlText w:val="%1.%2.%3"/>
      <w:lvlJc w:val="left"/>
      <w:pPr>
        <w:ind w:left="1077" w:hanging="51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7"/>
  </w:num>
  <w:num w:numId="3">
    <w:abstractNumId w:val="17"/>
  </w:num>
  <w:num w:numId="4">
    <w:abstractNumId w:val="18"/>
  </w:num>
  <w:num w:numId="5">
    <w:abstractNumId w:val="8"/>
  </w:num>
  <w:num w:numId="6">
    <w:abstractNumId w:val="4"/>
  </w:num>
  <w:num w:numId="7">
    <w:abstractNumId w:val="20"/>
  </w:num>
  <w:num w:numId="8">
    <w:abstractNumId w:val="13"/>
  </w:num>
  <w:num w:numId="9">
    <w:abstractNumId w:val="10"/>
  </w:num>
  <w:num w:numId="10">
    <w:abstractNumId w:val="9"/>
  </w:num>
  <w:num w:numId="11">
    <w:abstractNumId w:val="0"/>
  </w:num>
  <w:num w:numId="12">
    <w:abstractNumId w:val="11"/>
  </w:num>
  <w:num w:numId="13">
    <w:abstractNumId w:val="3"/>
  </w:num>
  <w:num w:numId="14">
    <w:abstractNumId w:val="2"/>
  </w:num>
  <w:num w:numId="15">
    <w:abstractNumId w:val="16"/>
  </w:num>
  <w:num w:numId="16">
    <w:abstractNumId w:val="19"/>
  </w:num>
  <w:num w:numId="17">
    <w:abstractNumId w:val="6"/>
  </w:num>
  <w:num w:numId="18">
    <w:abstractNumId w:val="15"/>
  </w:num>
  <w:num w:numId="19">
    <w:abstractNumId w:val="14"/>
  </w:num>
  <w:num w:numId="20">
    <w:abstractNumId w:val="12"/>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F91CAC"/>
    <w:rsid w:val="0000278E"/>
    <w:rsid w:val="0000370F"/>
    <w:rsid w:val="00013A31"/>
    <w:rsid w:val="00014C8C"/>
    <w:rsid w:val="00015220"/>
    <w:rsid w:val="0001694E"/>
    <w:rsid w:val="00016BE6"/>
    <w:rsid w:val="000211AE"/>
    <w:rsid w:val="00026456"/>
    <w:rsid w:val="00026707"/>
    <w:rsid w:val="000267D1"/>
    <w:rsid w:val="000314AA"/>
    <w:rsid w:val="0003201E"/>
    <w:rsid w:val="000338DB"/>
    <w:rsid w:val="00041A2E"/>
    <w:rsid w:val="00041E7F"/>
    <w:rsid w:val="00042292"/>
    <w:rsid w:val="00047CAE"/>
    <w:rsid w:val="00052040"/>
    <w:rsid w:val="0006103E"/>
    <w:rsid w:val="00064CDC"/>
    <w:rsid w:val="00065626"/>
    <w:rsid w:val="00066B61"/>
    <w:rsid w:val="00070162"/>
    <w:rsid w:val="000722AF"/>
    <w:rsid w:val="00075888"/>
    <w:rsid w:val="00076563"/>
    <w:rsid w:val="00076C2D"/>
    <w:rsid w:val="00076C53"/>
    <w:rsid w:val="00077952"/>
    <w:rsid w:val="00080070"/>
    <w:rsid w:val="00081A4B"/>
    <w:rsid w:val="0008367D"/>
    <w:rsid w:val="00084615"/>
    <w:rsid w:val="0008509C"/>
    <w:rsid w:val="00090D42"/>
    <w:rsid w:val="00093BF4"/>
    <w:rsid w:val="00093FDC"/>
    <w:rsid w:val="000958AB"/>
    <w:rsid w:val="00097071"/>
    <w:rsid w:val="000A0B13"/>
    <w:rsid w:val="000A279D"/>
    <w:rsid w:val="000A332C"/>
    <w:rsid w:val="000A5790"/>
    <w:rsid w:val="000A5FFF"/>
    <w:rsid w:val="000B2AF6"/>
    <w:rsid w:val="000B42EF"/>
    <w:rsid w:val="000C2EEA"/>
    <w:rsid w:val="000C5D78"/>
    <w:rsid w:val="000D08A8"/>
    <w:rsid w:val="000D1D26"/>
    <w:rsid w:val="000D46D6"/>
    <w:rsid w:val="000D6F4D"/>
    <w:rsid w:val="000D74D9"/>
    <w:rsid w:val="000E0840"/>
    <w:rsid w:val="000E6F2D"/>
    <w:rsid w:val="000E717D"/>
    <w:rsid w:val="000F4D9D"/>
    <w:rsid w:val="000F6ECA"/>
    <w:rsid w:val="0010334A"/>
    <w:rsid w:val="00107F77"/>
    <w:rsid w:val="00111656"/>
    <w:rsid w:val="00111754"/>
    <w:rsid w:val="00112135"/>
    <w:rsid w:val="00116812"/>
    <w:rsid w:val="001178AC"/>
    <w:rsid w:val="00123827"/>
    <w:rsid w:val="001254AE"/>
    <w:rsid w:val="00125DE5"/>
    <w:rsid w:val="00126D9D"/>
    <w:rsid w:val="001302BD"/>
    <w:rsid w:val="001339DD"/>
    <w:rsid w:val="00135623"/>
    <w:rsid w:val="00141764"/>
    <w:rsid w:val="00144C4F"/>
    <w:rsid w:val="00145E33"/>
    <w:rsid w:val="00145FB8"/>
    <w:rsid w:val="00146D47"/>
    <w:rsid w:val="001474BD"/>
    <w:rsid w:val="00147CBD"/>
    <w:rsid w:val="00150FEC"/>
    <w:rsid w:val="00152AAA"/>
    <w:rsid w:val="00154055"/>
    <w:rsid w:val="001545C4"/>
    <w:rsid w:val="00155778"/>
    <w:rsid w:val="00160DC1"/>
    <w:rsid w:val="00165D4D"/>
    <w:rsid w:val="0016739A"/>
    <w:rsid w:val="0017330F"/>
    <w:rsid w:val="00173469"/>
    <w:rsid w:val="001742A2"/>
    <w:rsid w:val="00174365"/>
    <w:rsid w:val="0018157C"/>
    <w:rsid w:val="0018176F"/>
    <w:rsid w:val="0018257D"/>
    <w:rsid w:val="001861BF"/>
    <w:rsid w:val="00186640"/>
    <w:rsid w:val="00187B3B"/>
    <w:rsid w:val="00192057"/>
    <w:rsid w:val="001957BD"/>
    <w:rsid w:val="001A0CDC"/>
    <w:rsid w:val="001A1CC1"/>
    <w:rsid w:val="001A5845"/>
    <w:rsid w:val="001A6459"/>
    <w:rsid w:val="001A7C14"/>
    <w:rsid w:val="001A7EA0"/>
    <w:rsid w:val="001B79C1"/>
    <w:rsid w:val="001C57D5"/>
    <w:rsid w:val="001C60C7"/>
    <w:rsid w:val="001C6EC2"/>
    <w:rsid w:val="001D096E"/>
    <w:rsid w:val="001D2044"/>
    <w:rsid w:val="001D20E7"/>
    <w:rsid w:val="001D2E55"/>
    <w:rsid w:val="001D4CEF"/>
    <w:rsid w:val="001E1907"/>
    <w:rsid w:val="001E2976"/>
    <w:rsid w:val="001E452E"/>
    <w:rsid w:val="001F4140"/>
    <w:rsid w:val="001F4CE2"/>
    <w:rsid w:val="001F64C4"/>
    <w:rsid w:val="00200DC3"/>
    <w:rsid w:val="00204C7F"/>
    <w:rsid w:val="00207128"/>
    <w:rsid w:val="002078DE"/>
    <w:rsid w:val="00207F99"/>
    <w:rsid w:val="00210F96"/>
    <w:rsid w:val="00211D92"/>
    <w:rsid w:val="00211F59"/>
    <w:rsid w:val="00213A6D"/>
    <w:rsid w:val="00213C26"/>
    <w:rsid w:val="0021771D"/>
    <w:rsid w:val="00221655"/>
    <w:rsid w:val="00223CC6"/>
    <w:rsid w:val="002277D8"/>
    <w:rsid w:val="00230008"/>
    <w:rsid w:val="0023041B"/>
    <w:rsid w:val="00232107"/>
    <w:rsid w:val="00232CDB"/>
    <w:rsid w:val="0023682B"/>
    <w:rsid w:val="0023731B"/>
    <w:rsid w:val="00244305"/>
    <w:rsid w:val="00244339"/>
    <w:rsid w:val="00246CC8"/>
    <w:rsid w:val="00251635"/>
    <w:rsid w:val="00253534"/>
    <w:rsid w:val="00253854"/>
    <w:rsid w:val="00254979"/>
    <w:rsid w:val="00254E3A"/>
    <w:rsid w:val="0025563C"/>
    <w:rsid w:val="00257432"/>
    <w:rsid w:val="002655C3"/>
    <w:rsid w:val="0026752F"/>
    <w:rsid w:val="002724E8"/>
    <w:rsid w:val="00272F1D"/>
    <w:rsid w:val="00273C8D"/>
    <w:rsid w:val="00273FB1"/>
    <w:rsid w:val="00274C33"/>
    <w:rsid w:val="00276030"/>
    <w:rsid w:val="00282EBC"/>
    <w:rsid w:val="00292CD1"/>
    <w:rsid w:val="00292EF1"/>
    <w:rsid w:val="00293354"/>
    <w:rsid w:val="002974C6"/>
    <w:rsid w:val="002A0E52"/>
    <w:rsid w:val="002A20A1"/>
    <w:rsid w:val="002A2DEB"/>
    <w:rsid w:val="002A5766"/>
    <w:rsid w:val="002A626F"/>
    <w:rsid w:val="002A7068"/>
    <w:rsid w:val="002B3599"/>
    <w:rsid w:val="002B56F3"/>
    <w:rsid w:val="002B6539"/>
    <w:rsid w:val="002B7589"/>
    <w:rsid w:val="002C0283"/>
    <w:rsid w:val="002C0CCA"/>
    <w:rsid w:val="002C275C"/>
    <w:rsid w:val="002C2AC4"/>
    <w:rsid w:val="002C38B2"/>
    <w:rsid w:val="002C533D"/>
    <w:rsid w:val="002C7803"/>
    <w:rsid w:val="002D1CA4"/>
    <w:rsid w:val="002D1EE0"/>
    <w:rsid w:val="002D5D1E"/>
    <w:rsid w:val="002D7021"/>
    <w:rsid w:val="002D745B"/>
    <w:rsid w:val="002E1CFC"/>
    <w:rsid w:val="002E32BD"/>
    <w:rsid w:val="002E6119"/>
    <w:rsid w:val="002E7B93"/>
    <w:rsid w:val="002F0DC2"/>
    <w:rsid w:val="002F0DF4"/>
    <w:rsid w:val="002F1163"/>
    <w:rsid w:val="002F1756"/>
    <w:rsid w:val="002F2BCE"/>
    <w:rsid w:val="002F7F17"/>
    <w:rsid w:val="00304547"/>
    <w:rsid w:val="00312242"/>
    <w:rsid w:val="00313005"/>
    <w:rsid w:val="003130C0"/>
    <w:rsid w:val="00314AD5"/>
    <w:rsid w:val="00316C68"/>
    <w:rsid w:val="00317A29"/>
    <w:rsid w:val="00321140"/>
    <w:rsid w:val="00321179"/>
    <w:rsid w:val="00321356"/>
    <w:rsid w:val="00321418"/>
    <w:rsid w:val="00323904"/>
    <w:rsid w:val="00327AAA"/>
    <w:rsid w:val="003300E0"/>
    <w:rsid w:val="00336886"/>
    <w:rsid w:val="00343111"/>
    <w:rsid w:val="0034398C"/>
    <w:rsid w:val="0034707B"/>
    <w:rsid w:val="00353941"/>
    <w:rsid w:val="00353E92"/>
    <w:rsid w:val="003571EF"/>
    <w:rsid w:val="00357D3C"/>
    <w:rsid w:val="00361DD8"/>
    <w:rsid w:val="003650DE"/>
    <w:rsid w:val="0036551D"/>
    <w:rsid w:val="00366A30"/>
    <w:rsid w:val="003676EE"/>
    <w:rsid w:val="00371139"/>
    <w:rsid w:val="00375BC3"/>
    <w:rsid w:val="00376CEC"/>
    <w:rsid w:val="003828AA"/>
    <w:rsid w:val="00383C5C"/>
    <w:rsid w:val="00386535"/>
    <w:rsid w:val="00387910"/>
    <w:rsid w:val="00390576"/>
    <w:rsid w:val="0039433A"/>
    <w:rsid w:val="003954A2"/>
    <w:rsid w:val="00396F50"/>
    <w:rsid w:val="003A0143"/>
    <w:rsid w:val="003A1A57"/>
    <w:rsid w:val="003A5486"/>
    <w:rsid w:val="003A614C"/>
    <w:rsid w:val="003B0A0E"/>
    <w:rsid w:val="003B281F"/>
    <w:rsid w:val="003B33AA"/>
    <w:rsid w:val="003B514E"/>
    <w:rsid w:val="003B60FE"/>
    <w:rsid w:val="003B7616"/>
    <w:rsid w:val="003C0D9D"/>
    <w:rsid w:val="003C1FC0"/>
    <w:rsid w:val="003C20B1"/>
    <w:rsid w:val="003C30EB"/>
    <w:rsid w:val="003C39EB"/>
    <w:rsid w:val="003C7309"/>
    <w:rsid w:val="003C7C87"/>
    <w:rsid w:val="003D1C3A"/>
    <w:rsid w:val="003D2277"/>
    <w:rsid w:val="003D2AB7"/>
    <w:rsid w:val="003D44CA"/>
    <w:rsid w:val="003E2922"/>
    <w:rsid w:val="003E2963"/>
    <w:rsid w:val="003E345A"/>
    <w:rsid w:val="003E73C2"/>
    <w:rsid w:val="003F0F31"/>
    <w:rsid w:val="003F1A52"/>
    <w:rsid w:val="00410321"/>
    <w:rsid w:val="00410604"/>
    <w:rsid w:val="00410B2D"/>
    <w:rsid w:val="00411B0E"/>
    <w:rsid w:val="00413B40"/>
    <w:rsid w:val="00413BDB"/>
    <w:rsid w:val="004229D1"/>
    <w:rsid w:val="00423D87"/>
    <w:rsid w:val="00424255"/>
    <w:rsid w:val="00424437"/>
    <w:rsid w:val="004244AB"/>
    <w:rsid w:val="00424E41"/>
    <w:rsid w:val="00426BD6"/>
    <w:rsid w:val="00431199"/>
    <w:rsid w:val="004314F1"/>
    <w:rsid w:val="0043210B"/>
    <w:rsid w:val="00432EE5"/>
    <w:rsid w:val="0043469A"/>
    <w:rsid w:val="0044360A"/>
    <w:rsid w:val="0044368A"/>
    <w:rsid w:val="0044489D"/>
    <w:rsid w:val="00444DF8"/>
    <w:rsid w:val="00447375"/>
    <w:rsid w:val="00453BFA"/>
    <w:rsid w:val="004576E3"/>
    <w:rsid w:val="004614E7"/>
    <w:rsid w:val="00464C7F"/>
    <w:rsid w:val="00474DAB"/>
    <w:rsid w:val="004763C5"/>
    <w:rsid w:val="00477BF3"/>
    <w:rsid w:val="0048011C"/>
    <w:rsid w:val="00485D52"/>
    <w:rsid w:val="004866F9"/>
    <w:rsid w:val="0049146E"/>
    <w:rsid w:val="00491B11"/>
    <w:rsid w:val="00491FC1"/>
    <w:rsid w:val="004A3434"/>
    <w:rsid w:val="004A4B09"/>
    <w:rsid w:val="004A5F0B"/>
    <w:rsid w:val="004C4D09"/>
    <w:rsid w:val="004D0CF6"/>
    <w:rsid w:val="004D2E35"/>
    <w:rsid w:val="004D3484"/>
    <w:rsid w:val="004E1158"/>
    <w:rsid w:val="004E78C5"/>
    <w:rsid w:val="004F585C"/>
    <w:rsid w:val="004F71CA"/>
    <w:rsid w:val="0050199E"/>
    <w:rsid w:val="00502096"/>
    <w:rsid w:val="0050508D"/>
    <w:rsid w:val="005052EA"/>
    <w:rsid w:val="00506E89"/>
    <w:rsid w:val="00510322"/>
    <w:rsid w:val="00511156"/>
    <w:rsid w:val="00511553"/>
    <w:rsid w:val="00512AD0"/>
    <w:rsid w:val="005133A3"/>
    <w:rsid w:val="00515B4E"/>
    <w:rsid w:val="00532A8E"/>
    <w:rsid w:val="005347B1"/>
    <w:rsid w:val="00544EEB"/>
    <w:rsid w:val="00547C74"/>
    <w:rsid w:val="005519D6"/>
    <w:rsid w:val="00551A0B"/>
    <w:rsid w:val="005529DB"/>
    <w:rsid w:val="00552A4E"/>
    <w:rsid w:val="00554F1B"/>
    <w:rsid w:val="00557439"/>
    <w:rsid w:val="00562CA8"/>
    <w:rsid w:val="00570754"/>
    <w:rsid w:val="00570827"/>
    <w:rsid w:val="00570AAB"/>
    <w:rsid w:val="00572678"/>
    <w:rsid w:val="00576494"/>
    <w:rsid w:val="00576F97"/>
    <w:rsid w:val="005773AC"/>
    <w:rsid w:val="00582E73"/>
    <w:rsid w:val="005944A3"/>
    <w:rsid w:val="00596C1C"/>
    <w:rsid w:val="00597060"/>
    <w:rsid w:val="00597743"/>
    <w:rsid w:val="00597902"/>
    <w:rsid w:val="005A26F6"/>
    <w:rsid w:val="005A331E"/>
    <w:rsid w:val="005A5367"/>
    <w:rsid w:val="005B14F9"/>
    <w:rsid w:val="005B2224"/>
    <w:rsid w:val="005B2695"/>
    <w:rsid w:val="005B2E4E"/>
    <w:rsid w:val="005B3805"/>
    <w:rsid w:val="005B56A2"/>
    <w:rsid w:val="005B6D69"/>
    <w:rsid w:val="005C56E1"/>
    <w:rsid w:val="005C74B3"/>
    <w:rsid w:val="005C7F2B"/>
    <w:rsid w:val="005D2BA2"/>
    <w:rsid w:val="005D4F7E"/>
    <w:rsid w:val="005D70F5"/>
    <w:rsid w:val="005E3108"/>
    <w:rsid w:val="005E619B"/>
    <w:rsid w:val="005E6D40"/>
    <w:rsid w:val="005F105D"/>
    <w:rsid w:val="005F3CB8"/>
    <w:rsid w:val="005F649E"/>
    <w:rsid w:val="005F77A5"/>
    <w:rsid w:val="00603315"/>
    <w:rsid w:val="00606F0A"/>
    <w:rsid w:val="00607EED"/>
    <w:rsid w:val="0061138A"/>
    <w:rsid w:val="00612054"/>
    <w:rsid w:val="0061211E"/>
    <w:rsid w:val="0061462F"/>
    <w:rsid w:val="00614B9F"/>
    <w:rsid w:val="00615CDC"/>
    <w:rsid w:val="006177BC"/>
    <w:rsid w:val="0062645B"/>
    <w:rsid w:val="00630F35"/>
    <w:rsid w:val="00632799"/>
    <w:rsid w:val="00633FF2"/>
    <w:rsid w:val="00634F69"/>
    <w:rsid w:val="00636E0C"/>
    <w:rsid w:val="00637B99"/>
    <w:rsid w:val="00641FD3"/>
    <w:rsid w:val="00643E0A"/>
    <w:rsid w:val="00644B79"/>
    <w:rsid w:val="0065132C"/>
    <w:rsid w:val="00660C22"/>
    <w:rsid w:val="0066244A"/>
    <w:rsid w:val="006723AF"/>
    <w:rsid w:val="006724A6"/>
    <w:rsid w:val="00672F93"/>
    <w:rsid w:val="00681BCC"/>
    <w:rsid w:val="00685E91"/>
    <w:rsid w:val="00690029"/>
    <w:rsid w:val="006911F2"/>
    <w:rsid w:val="006915C8"/>
    <w:rsid w:val="006945D7"/>
    <w:rsid w:val="0069576D"/>
    <w:rsid w:val="006A2D6A"/>
    <w:rsid w:val="006B31DB"/>
    <w:rsid w:val="006B63A7"/>
    <w:rsid w:val="006B6579"/>
    <w:rsid w:val="006C712C"/>
    <w:rsid w:val="006C73AB"/>
    <w:rsid w:val="006D2A95"/>
    <w:rsid w:val="006D34F1"/>
    <w:rsid w:val="006D4429"/>
    <w:rsid w:val="006D59C4"/>
    <w:rsid w:val="006E04E0"/>
    <w:rsid w:val="006E0AE5"/>
    <w:rsid w:val="006E31B5"/>
    <w:rsid w:val="006F170A"/>
    <w:rsid w:val="006F3236"/>
    <w:rsid w:val="006F49F1"/>
    <w:rsid w:val="006F5A11"/>
    <w:rsid w:val="006F6214"/>
    <w:rsid w:val="00700674"/>
    <w:rsid w:val="007009CE"/>
    <w:rsid w:val="00702B27"/>
    <w:rsid w:val="00707362"/>
    <w:rsid w:val="00710835"/>
    <w:rsid w:val="007174A1"/>
    <w:rsid w:val="00717E5B"/>
    <w:rsid w:val="00724860"/>
    <w:rsid w:val="007276D1"/>
    <w:rsid w:val="00731FBF"/>
    <w:rsid w:val="007343AA"/>
    <w:rsid w:val="0073582E"/>
    <w:rsid w:val="00741E0D"/>
    <w:rsid w:val="0075596E"/>
    <w:rsid w:val="00757114"/>
    <w:rsid w:val="00763913"/>
    <w:rsid w:val="00770938"/>
    <w:rsid w:val="00771187"/>
    <w:rsid w:val="00771D63"/>
    <w:rsid w:val="007744FC"/>
    <w:rsid w:val="007763B2"/>
    <w:rsid w:val="0077783C"/>
    <w:rsid w:val="007819D3"/>
    <w:rsid w:val="00782D76"/>
    <w:rsid w:val="00790B83"/>
    <w:rsid w:val="007914A1"/>
    <w:rsid w:val="00794B1E"/>
    <w:rsid w:val="007A3A5E"/>
    <w:rsid w:val="007B612D"/>
    <w:rsid w:val="007B6D49"/>
    <w:rsid w:val="007C07C3"/>
    <w:rsid w:val="007C0ABC"/>
    <w:rsid w:val="007C3992"/>
    <w:rsid w:val="007C44B7"/>
    <w:rsid w:val="007C6858"/>
    <w:rsid w:val="007D0FB5"/>
    <w:rsid w:val="007D1335"/>
    <w:rsid w:val="007D252D"/>
    <w:rsid w:val="007D6949"/>
    <w:rsid w:val="007E300C"/>
    <w:rsid w:val="007E3497"/>
    <w:rsid w:val="007E564A"/>
    <w:rsid w:val="007F1522"/>
    <w:rsid w:val="007F21CD"/>
    <w:rsid w:val="007F2D97"/>
    <w:rsid w:val="007F43E2"/>
    <w:rsid w:val="007F711B"/>
    <w:rsid w:val="00804348"/>
    <w:rsid w:val="008058D1"/>
    <w:rsid w:val="00811B0B"/>
    <w:rsid w:val="00812E27"/>
    <w:rsid w:val="008139C7"/>
    <w:rsid w:val="00814A03"/>
    <w:rsid w:val="00816561"/>
    <w:rsid w:val="0082024B"/>
    <w:rsid w:val="00822C72"/>
    <w:rsid w:val="00825A38"/>
    <w:rsid w:val="00835348"/>
    <w:rsid w:val="00837636"/>
    <w:rsid w:val="008401D4"/>
    <w:rsid w:val="00845254"/>
    <w:rsid w:val="008510CD"/>
    <w:rsid w:val="00852E34"/>
    <w:rsid w:val="00856E05"/>
    <w:rsid w:val="008607CE"/>
    <w:rsid w:val="008609DE"/>
    <w:rsid w:val="00864D75"/>
    <w:rsid w:val="00866FBA"/>
    <w:rsid w:val="00867112"/>
    <w:rsid w:val="0087006E"/>
    <w:rsid w:val="00871FD3"/>
    <w:rsid w:val="00872B71"/>
    <w:rsid w:val="008774A5"/>
    <w:rsid w:val="008801FB"/>
    <w:rsid w:val="00880869"/>
    <w:rsid w:val="008820F3"/>
    <w:rsid w:val="00882ED2"/>
    <w:rsid w:val="008842B0"/>
    <w:rsid w:val="00886784"/>
    <w:rsid w:val="00887334"/>
    <w:rsid w:val="0089180F"/>
    <w:rsid w:val="00895370"/>
    <w:rsid w:val="008A13CF"/>
    <w:rsid w:val="008A1D3C"/>
    <w:rsid w:val="008A2589"/>
    <w:rsid w:val="008A53F8"/>
    <w:rsid w:val="008A65C0"/>
    <w:rsid w:val="008A7101"/>
    <w:rsid w:val="008B0E49"/>
    <w:rsid w:val="008B1246"/>
    <w:rsid w:val="008B2840"/>
    <w:rsid w:val="008B49FA"/>
    <w:rsid w:val="008C0BE4"/>
    <w:rsid w:val="008C47E5"/>
    <w:rsid w:val="008C7796"/>
    <w:rsid w:val="008D2D6D"/>
    <w:rsid w:val="008D421D"/>
    <w:rsid w:val="008D7A00"/>
    <w:rsid w:val="008E47FE"/>
    <w:rsid w:val="008E5A7B"/>
    <w:rsid w:val="008E74A1"/>
    <w:rsid w:val="008E7D59"/>
    <w:rsid w:val="008F2EC2"/>
    <w:rsid w:val="008F78B9"/>
    <w:rsid w:val="00901E39"/>
    <w:rsid w:val="00903036"/>
    <w:rsid w:val="00903CA1"/>
    <w:rsid w:val="00904571"/>
    <w:rsid w:val="00905D98"/>
    <w:rsid w:val="00906E43"/>
    <w:rsid w:val="0091794D"/>
    <w:rsid w:val="009211F7"/>
    <w:rsid w:val="009231C7"/>
    <w:rsid w:val="0092381F"/>
    <w:rsid w:val="0092426E"/>
    <w:rsid w:val="00925710"/>
    <w:rsid w:val="009320DA"/>
    <w:rsid w:val="00934BB7"/>
    <w:rsid w:val="0093656A"/>
    <w:rsid w:val="00937923"/>
    <w:rsid w:val="00940897"/>
    <w:rsid w:val="0094383E"/>
    <w:rsid w:val="00944F60"/>
    <w:rsid w:val="009454CF"/>
    <w:rsid w:val="0094636B"/>
    <w:rsid w:val="009465C1"/>
    <w:rsid w:val="0094762B"/>
    <w:rsid w:val="00964BB8"/>
    <w:rsid w:val="009654BA"/>
    <w:rsid w:val="00965DCC"/>
    <w:rsid w:val="0097725F"/>
    <w:rsid w:val="00977F64"/>
    <w:rsid w:val="00981BE5"/>
    <w:rsid w:val="00983763"/>
    <w:rsid w:val="009837C9"/>
    <w:rsid w:val="00983ED5"/>
    <w:rsid w:val="00984023"/>
    <w:rsid w:val="00993478"/>
    <w:rsid w:val="009947BB"/>
    <w:rsid w:val="00995298"/>
    <w:rsid w:val="009A25B1"/>
    <w:rsid w:val="009A2D5F"/>
    <w:rsid w:val="009A5A3E"/>
    <w:rsid w:val="009B0BFD"/>
    <w:rsid w:val="009B168D"/>
    <w:rsid w:val="009B32E6"/>
    <w:rsid w:val="009B4F09"/>
    <w:rsid w:val="009C5551"/>
    <w:rsid w:val="009C78C2"/>
    <w:rsid w:val="009C7D7D"/>
    <w:rsid w:val="009D0E55"/>
    <w:rsid w:val="009D4EC4"/>
    <w:rsid w:val="009E2EDB"/>
    <w:rsid w:val="009E6601"/>
    <w:rsid w:val="009E6738"/>
    <w:rsid w:val="009E6AD6"/>
    <w:rsid w:val="009F452D"/>
    <w:rsid w:val="009F47FB"/>
    <w:rsid w:val="009F4C50"/>
    <w:rsid w:val="009F6954"/>
    <w:rsid w:val="00A01C03"/>
    <w:rsid w:val="00A023A2"/>
    <w:rsid w:val="00A026F3"/>
    <w:rsid w:val="00A05DBA"/>
    <w:rsid w:val="00A07D24"/>
    <w:rsid w:val="00A115CB"/>
    <w:rsid w:val="00A14666"/>
    <w:rsid w:val="00A149BC"/>
    <w:rsid w:val="00A204DB"/>
    <w:rsid w:val="00A20A86"/>
    <w:rsid w:val="00A27428"/>
    <w:rsid w:val="00A424A9"/>
    <w:rsid w:val="00A43001"/>
    <w:rsid w:val="00A46DDC"/>
    <w:rsid w:val="00A547DB"/>
    <w:rsid w:val="00A54E1E"/>
    <w:rsid w:val="00A602B3"/>
    <w:rsid w:val="00A614E5"/>
    <w:rsid w:val="00A61B4C"/>
    <w:rsid w:val="00A640C7"/>
    <w:rsid w:val="00A67A0B"/>
    <w:rsid w:val="00A7003B"/>
    <w:rsid w:val="00A714A6"/>
    <w:rsid w:val="00A71D31"/>
    <w:rsid w:val="00A73D13"/>
    <w:rsid w:val="00A7425A"/>
    <w:rsid w:val="00A757B6"/>
    <w:rsid w:val="00A7587F"/>
    <w:rsid w:val="00A84C3A"/>
    <w:rsid w:val="00A86723"/>
    <w:rsid w:val="00A93C43"/>
    <w:rsid w:val="00A95701"/>
    <w:rsid w:val="00A96B9F"/>
    <w:rsid w:val="00A974BF"/>
    <w:rsid w:val="00AA0243"/>
    <w:rsid w:val="00AA0CA7"/>
    <w:rsid w:val="00AA43AC"/>
    <w:rsid w:val="00AA6B92"/>
    <w:rsid w:val="00AA6BC1"/>
    <w:rsid w:val="00AB2499"/>
    <w:rsid w:val="00AB3FF6"/>
    <w:rsid w:val="00AC2EFB"/>
    <w:rsid w:val="00AC45FC"/>
    <w:rsid w:val="00AC4D86"/>
    <w:rsid w:val="00AC588C"/>
    <w:rsid w:val="00AC5F8F"/>
    <w:rsid w:val="00AD1877"/>
    <w:rsid w:val="00AD288F"/>
    <w:rsid w:val="00AD3789"/>
    <w:rsid w:val="00AD52CC"/>
    <w:rsid w:val="00AD7E5A"/>
    <w:rsid w:val="00AE0C32"/>
    <w:rsid w:val="00AE3468"/>
    <w:rsid w:val="00AE428D"/>
    <w:rsid w:val="00AE5B1D"/>
    <w:rsid w:val="00AE5DF1"/>
    <w:rsid w:val="00AF2CED"/>
    <w:rsid w:val="00AF34DA"/>
    <w:rsid w:val="00AF554B"/>
    <w:rsid w:val="00AF70FD"/>
    <w:rsid w:val="00B05B8A"/>
    <w:rsid w:val="00B06132"/>
    <w:rsid w:val="00B11FA4"/>
    <w:rsid w:val="00B143DF"/>
    <w:rsid w:val="00B1555E"/>
    <w:rsid w:val="00B16CCF"/>
    <w:rsid w:val="00B1779F"/>
    <w:rsid w:val="00B17AF6"/>
    <w:rsid w:val="00B26DC6"/>
    <w:rsid w:val="00B30BAF"/>
    <w:rsid w:val="00B310F1"/>
    <w:rsid w:val="00B323FA"/>
    <w:rsid w:val="00B34306"/>
    <w:rsid w:val="00B376D0"/>
    <w:rsid w:val="00B435B8"/>
    <w:rsid w:val="00B443B2"/>
    <w:rsid w:val="00B50DDE"/>
    <w:rsid w:val="00B51C2E"/>
    <w:rsid w:val="00B547F6"/>
    <w:rsid w:val="00B56D16"/>
    <w:rsid w:val="00B60932"/>
    <w:rsid w:val="00B62165"/>
    <w:rsid w:val="00B65715"/>
    <w:rsid w:val="00B66292"/>
    <w:rsid w:val="00B71619"/>
    <w:rsid w:val="00B72DA5"/>
    <w:rsid w:val="00B72ECA"/>
    <w:rsid w:val="00B7311C"/>
    <w:rsid w:val="00B74502"/>
    <w:rsid w:val="00B817AE"/>
    <w:rsid w:val="00B82A23"/>
    <w:rsid w:val="00B84491"/>
    <w:rsid w:val="00B86827"/>
    <w:rsid w:val="00B87322"/>
    <w:rsid w:val="00B87C9E"/>
    <w:rsid w:val="00B90475"/>
    <w:rsid w:val="00B9174A"/>
    <w:rsid w:val="00B92ADF"/>
    <w:rsid w:val="00B94086"/>
    <w:rsid w:val="00B9793B"/>
    <w:rsid w:val="00BA19F2"/>
    <w:rsid w:val="00BA7414"/>
    <w:rsid w:val="00BA7CC4"/>
    <w:rsid w:val="00BB2E78"/>
    <w:rsid w:val="00BB3003"/>
    <w:rsid w:val="00BB359E"/>
    <w:rsid w:val="00BB52E9"/>
    <w:rsid w:val="00BB54A3"/>
    <w:rsid w:val="00BB57DE"/>
    <w:rsid w:val="00BB6789"/>
    <w:rsid w:val="00BC08A0"/>
    <w:rsid w:val="00BC0DA0"/>
    <w:rsid w:val="00BC3516"/>
    <w:rsid w:val="00BC6602"/>
    <w:rsid w:val="00BD7CB2"/>
    <w:rsid w:val="00BE0C69"/>
    <w:rsid w:val="00BE1991"/>
    <w:rsid w:val="00BE31D8"/>
    <w:rsid w:val="00BE4870"/>
    <w:rsid w:val="00BE5D6D"/>
    <w:rsid w:val="00BF0BE7"/>
    <w:rsid w:val="00BF716F"/>
    <w:rsid w:val="00C00556"/>
    <w:rsid w:val="00C02249"/>
    <w:rsid w:val="00C0251D"/>
    <w:rsid w:val="00C04E28"/>
    <w:rsid w:val="00C102E6"/>
    <w:rsid w:val="00C219FE"/>
    <w:rsid w:val="00C23B58"/>
    <w:rsid w:val="00C312DC"/>
    <w:rsid w:val="00C3238D"/>
    <w:rsid w:val="00C32D36"/>
    <w:rsid w:val="00C40FE6"/>
    <w:rsid w:val="00C42CBA"/>
    <w:rsid w:val="00C43679"/>
    <w:rsid w:val="00C47555"/>
    <w:rsid w:val="00C5585F"/>
    <w:rsid w:val="00C57E81"/>
    <w:rsid w:val="00C60159"/>
    <w:rsid w:val="00C61498"/>
    <w:rsid w:val="00C6166A"/>
    <w:rsid w:val="00C63529"/>
    <w:rsid w:val="00C67FC8"/>
    <w:rsid w:val="00C70202"/>
    <w:rsid w:val="00C7182D"/>
    <w:rsid w:val="00C71E86"/>
    <w:rsid w:val="00C772FA"/>
    <w:rsid w:val="00C801FF"/>
    <w:rsid w:val="00C8136F"/>
    <w:rsid w:val="00C830CF"/>
    <w:rsid w:val="00C83E39"/>
    <w:rsid w:val="00C8451F"/>
    <w:rsid w:val="00C84582"/>
    <w:rsid w:val="00C85CDF"/>
    <w:rsid w:val="00C86C99"/>
    <w:rsid w:val="00C90587"/>
    <w:rsid w:val="00C907DF"/>
    <w:rsid w:val="00C95FF7"/>
    <w:rsid w:val="00CA5BD8"/>
    <w:rsid w:val="00CA6223"/>
    <w:rsid w:val="00CA7D4D"/>
    <w:rsid w:val="00CB0055"/>
    <w:rsid w:val="00CB1A60"/>
    <w:rsid w:val="00CB4876"/>
    <w:rsid w:val="00CB71C0"/>
    <w:rsid w:val="00CB73AB"/>
    <w:rsid w:val="00CC2FBF"/>
    <w:rsid w:val="00CC5FEC"/>
    <w:rsid w:val="00CC69AF"/>
    <w:rsid w:val="00CD0D11"/>
    <w:rsid w:val="00CD1A8D"/>
    <w:rsid w:val="00CD217A"/>
    <w:rsid w:val="00CD5B67"/>
    <w:rsid w:val="00CD7145"/>
    <w:rsid w:val="00CD7DAB"/>
    <w:rsid w:val="00CE1F9E"/>
    <w:rsid w:val="00CE71B8"/>
    <w:rsid w:val="00CF54D6"/>
    <w:rsid w:val="00D035E3"/>
    <w:rsid w:val="00D0493A"/>
    <w:rsid w:val="00D04EE0"/>
    <w:rsid w:val="00D12980"/>
    <w:rsid w:val="00D14ECC"/>
    <w:rsid w:val="00D16900"/>
    <w:rsid w:val="00D169D2"/>
    <w:rsid w:val="00D17A05"/>
    <w:rsid w:val="00D17E61"/>
    <w:rsid w:val="00D2167C"/>
    <w:rsid w:val="00D2242A"/>
    <w:rsid w:val="00D23510"/>
    <w:rsid w:val="00D345D5"/>
    <w:rsid w:val="00D362D1"/>
    <w:rsid w:val="00D4243B"/>
    <w:rsid w:val="00D431F5"/>
    <w:rsid w:val="00D43892"/>
    <w:rsid w:val="00D53442"/>
    <w:rsid w:val="00D55502"/>
    <w:rsid w:val="00D574C3"/>
    <w:rsid w:val="00D6129E"/>
    <w:rsid w:val="00D63571"/>
    <w:rsid w:val="00D649F6"/>
    <w:rsid w:val="00D66DD4"/>
    <w:rsid w:val="00D675F9"/>
    <w:rsid w:val="00D70AF9"/>
    <w:rsid w:val="00D804E5"/>
    <w:rsid w:val="00D83A02"/>
    <w:rsid w:val="00D86F8C"/>
    <w:rsid w:val="00D93489"/>
    <w:rsid w:val="00D955A1"/>
    <w:rsid w:val="00D95EFB"/>
    <w:rsid w:val="00D979AC"/>
    <w:rsid w:val="00DA0057"/>
    <w:rsid w:val="00DA5730"/>
    <w:rsid w:val="00DA5FB1"/>
    <w:rsid w:val="00DA608C"/>
    <w:rsid w:val="00DA620A"/>
    <w:rsid w:val="00DB2290"/>
    <w:rsid w:val="00DB504B"/>
    <w:rsid w:val="00DB5178"/>
    <w:rsid w:val="00DC4570"/>
    <w:rsid w:val="00DD23DA"/>
    <w:rsid w:val="00DD423A"/>
    <w:rsid w:val="00DD5483"/>
    <w:rsid w:val="00DE2909"/>
    <w:rsid w:val="00DE3A9B"/>
    <w:rsid w:val="00DE5BC4"/>
    <w:rsid w:val="00DF1D02"/>
    <w:rsid w:val="00DF1D62"/>
    <w:rsid w:val="00DF2281"/>
    <w:rsid w:val="00DF36CF"/>
    <w:rsid w:val="00DF479F"/>
    <w:rsid w:val="00DF5DF1"/>
    <w:rsid w:val="00DF7FAA"/>
    <w:rsid w:val="00E0182F"/>
    <w:rsid w:val="00E05CAD"/>
    <w:rsid w:val="00E12DD5"/>
    <w:rsid w:val="00E12FEF"/>
    <w:rsid w:val="00E135D7"/>
    <w:rsid w:val="00E15761"/>
    <w:rsid w:val="00E17AC3"/>
    <w:rsid w:val="00E20066"/>
    <w:rsid w:val="00E2074B"/>
    <w:rsid w:val="00E2190C"/>
    <w:rsid w:val="00E23F69"/>
    <w:rsid w:val="00E24E47"/>
    <w:rsid w:val="00E31D85"/>
    <w:rsid w:val="00E33EAE"/>
    <w:rsid w:val="00E3436C"/>
    <w:rsid w:val="00E347E7"/>
    <w:rsid w:val="00E40F8C"/>
    <w:rsid w:val="00E433B9"/>
    <w:rsid w:val="00E43F0A"/>
    <w:rsid w:val="00E458F2"/>
    <w:rsid w:val="00E47525"/>
    <w:rsid w:val="00E5034B"/>
    <w:rsid w:val="00E5142D"/>
    <w:rsid w:val="00E5178E"/>
    <w:rsid w:val="00E51EF5"/>
    <w:rsid w:val="00E54B12"/>
    <w:rsid w:val="00E54DB3"/>
    <w:rsid w:val="00E56ECA"/>
    <w:rsid w:val="00E621EE"/>
    <w:rsid w:val="00E673EA"/>
    <w:rsid w:val="00E70250"/>
    <w:rsid w:val="00E70668"/>
    <w:rsid w:val="00E728BB"/>
    <w:rsid w:val="00E72B52"/>
    <w:rsid w:val="00E76627"/>
    <w:rsid w:val="00E817C1"/>
    <w:rsid w:val="00E83EE2"/>
    <w:rsid w:val="00E84EBE"/>
    <w:rsid w:val="00E85DCE"/>
    <w:rsid w:val="00E86244"/>
    <w:rsid w:val="00E87EAE"/>
    <w:rsid w:val="00E9203C"/>
    <w:rsid w:val="00E93E78"/>
    <w:rsid w:val="00E9569C"/>
    <w:rsid w:val="00EA1BAD"/>
    <w:rsid w:val="00EA3358"/>
    <w:rsid w:val="00EA4DF7"/>
    <w:rsid w:val="00EA59CF"/>
    <w:rsid w:val="00EA59D1"/>
    <w:rsid w:val="00EB1893"/>
    <w:rsid w:val="00EB350D"/>
    <w:rsid w:val="00EB6534"/>
    <w:rsid w:val="00EC1CD5"/>
    <w:rsid w:val="00EC31DA"/>
    <w:rsid w:val="00EC7BE3"/>
    <w:rsid w:val="00ED0D9A"/>
    <w:rsid w:val="00ED4594"/>
    <w:rsid w:val="00ED4F28"/>
    <w:rsid w:val="00ED6D3F"/>
    <w:rsid w:val="00EE09BA"/>
    <w:rsid w:val="00EF1F3E"/>
    <w:rsid w:val="00EF2789"/>
    <w:rsid w:val="00EF34B4"/>
    <w:rsid w:val="00EF5C6C"/>
    <w:rsid w:val="00EF5DEF"/>
    <w:rsid w:val="00F012C4"/>
    <w:rsid w:val="00F02C94"/>
    <w:rsid w:val="00F03E1A"/>
    <w:rsid w:val="00F0476B"/>
    <w:rsid w:val="00F0507A"/>
    <w:rsid w:val="00F056F5"/>
    <w:rsid w:val="00F06B48"/>
    <w:rsid w:val="00F07E57"/>
    <w:rsid w:val="00F21998"/>
    <w:rsid w:val="00F226AD"/>
    <w:rsid w:val="00F23E59"/>
    <w:rsid w:val="00F24414"/>
    <w:rsid w:val="00F24BB9"/>
    <w:rsid w:val="00F2529B"/>
    <w:rsid w:val="00F271A2"/>
    <w:rsid w:val="00F308AC"/>
    <w:rsid w:val="00F3276E"/>
    <w:rsid w:val="00F338D1"/>
    <w:rsid w:val="00F34327"/>
    <w:rsid w:val="00F34569"/>
    <w:rsid w:val="00F34B97"/>
    <w:rsid w:val="00F35E34"/>
    <w:rsid w:val="00F37EED"/>
    <w:rsid w:val="00F43A4F"/>
    <w:rsid w:val="00F45398"/>
    <w:rsid w:val="00F52F5B"/>
    <w:rsid w:val="00F574F8"/>
    <w:rsid w:val="00F617BE"/>
    <w:rsid w:val="00F63F1A"/>
    <w:rsid w:val="00F64699"/>
    <w:rsid w:val="00F64C47"/>
    <w:rsid w:val="00F66F55"/>
    <w:rsid w:val="00F70315"/>
    <w:rsid w:val="00F70406"/>
    <w:rsid w:val="00F70E6A"/>
    <w:rsid w:val="00F742FD"/>
    <w:rsid w:val="00F74EDA"/>
    <w:rsid w:val="00F76661"/>
    <w:rsid w:val="00F803FD"/>
    <w:rsid w:val="00F85859"/>
    <w:rsid w:val="00F873B9"/>
    <w:rsid w:val="00F914C2"/>
    <w:rsid w:val="00F91CAC"/>
    <w:rsid w:val="00F928CB"/>
    <w:rsid w:val="00F92E16"/>
    <w:rsid w:val="00F955B8"/>
    <w:rsid w:val="00F97B2D"/>
    <w:rsid w:val="00FA30B4"/>
    <w:rsid w:val="00FA6314"/>
    <w:rsid w:val="00FB411D"/>
    <w:rsid w:val="00FB6467"/>
    <w:rsid w:val="00FC0C47"/>
    <w:rsid w:val="00FC1427"/>
    <w:rsid w:val="00FC4F98"/>
    <w:rsid w:val="00FC5F46"/>
    <w:rsid w:val="00FC77BA"/>
    <w:rsid w:val="00FD146B"/>
    <w:rsid w:val="00FD36D6"/>
    <w:rsid w:val="00FD37BD"/>
    <w:rsid w:val="00FE527E"/>
    <w:rsid w:val="00FE5CC3"/>
    <w:rsid w:val="00FE6289"/>
    <w:rsid w:val="00FE693B"/>
    <w:rsid w:val="00FF4484"/>
    <w:rsid w:val="00FF455B"/>
    <w:rsid w:val="00FF4ED0"/>
    <w:rsid w:val="00FF69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40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6886"/>
    <w:pPr>
      <w:pageBreakBefore/>
      <w:numPr>
        <w:numId w:val="1"/>
      </w:numPr>
      <w:spacing w:after="360" w:line="240" w:lineRule="auto"/>
      <w:outlineLvl w:val="0"/>
    </w:pPr>
    <w:rPr>
      <w:rFonts w:ascii="KPMG Extralight" w:hAnsi="KPMG Extralight"/>
      <w:color w:val="005EB8"/>
      <w:sz w:val="96"/>
    </w:rPr>
  </w:style>
  <w:style w:type="paragraph" w:styleId="Heading2">
    <w:name w:val="heading 2"/>
    <w:basedOn w:val="Normal"/>
    <w:next w:val="Normal"/>
    <w:link w:val="Heading2Char"/>
    <w:uiPriority w:val="9"/>
    <w:unhideWhenUsed/>
    <w:qFormat/>
    <w:rsid w:val="000722AF"/>
    <w:pPr>
      <w:numPr>
        <w:ilvl w:val="1"/>
        <w:numId w:val="1"/>
      </w:numPr>
      <w:spacing w:before="240" w:after="120" w:line="240" w:lineRule="auto"/>
      <w:ind w:right="284"/>
      <w:outlineLvl w:val="1"/>
    </w:pPr>
    <w:rPr>
      <w:rFonts w:ascii="Univers 45 Light" w:hAnsi="Univers 45 Light"/>
      <w:b/>
      <w:color w:val="005EB8"/>
      <w:sz w:val="26"/>
      <w:szCs w:val="26"/>
    </w:rPr>
  </w:style>
  <w:style w:type="paragraph" w:styleId="Heading3">
    <w:name w:val="heading 3"/>
    <w:basedOn w:val="Normal"/>
    <w:next w:val="Normal"/>
    <w:link w:val="Heading3Char"/>
    <w:uiPriority w:val="9"/>
    <w:unhideWhenUsed/>
    <w:qFormat/>
    <w:rsid w:val="00C32D36"/>
    <w:pPr>
      <w:keepNext/>
      <w:keepLines/>
      <w:spacing w:before="240" w:after="120" w:line="240" w:lineRule="auto"/>
      <w:outlineLvl w:val="2"/>
    </w:pPr>
    <w:rPr>
      <w:rFonts w:ascii="Univers 45 Light" w:eastAsiaTheme="majorEastAsia" w:hAnsi="Univers 45 Light"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871F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F6"/>
  </w:style>
  <w:style w:type="paragraph" w:styleId="Footer">
    <w:name w:val="footer"/>
    <w:basedOn w:val="Normal"/>
    <w:link w:val="FooterChar"/>
    <w:uiPriority w:val="99"/>
    <w:unhideWhenUsed/>
    <w:rsid w:val="00D6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9F6"/>
  </w:style>
  <w:style w:type="table" w:styleId="TableGrid">
    <w:name w:val="Table Grid"/>
    <w:basedOn w:val="TableNormal"/>
    <w:uiPriority w:val="39"/>
    <w:rsid w:val="0014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947BB"/>
    <w:pPr>
      <w:ind w:left="720"/>
      <w:contextualSpacing/>
    </w:pPr>
  </w:style>
  <w:style w:type="paragraph" w:styleId="BodyText">
    <w:name w:val="Body Text"/>
    <w:aliases w:val="Body Text x,Appendix 2,bt,body text,t1,taten_body,block,b-heading 1/heading 2,bd,b,heading1body-heading2body,body,Body Text 1,NoticeText-List,Body text,Body,by,Cargo,heading3,NCDOT Body Text,Starbucks Body Text,3 indent,heading31,body text1,B"/>
    <w:basedOn w:val="Normal"/>
    <w:link w:val="BodyTextChar"/>
    <w:uiPriority w:val="99"/>
    <w:qFormat/>
    <w:rsid w:val="000A5790"/>
    <w:pPr>
      <w:spacing w:before="130" w:after="130" w:line="260" w:lineRule="atLeast"/>
    </w:pPr>
    <w:rPr>
      <w:rFonts w:ascii="Times New Roman" w:eastAsia="Batang" w:hAnsi="Times New Roman" w:cs="Times New Roman"/>
      <w:szCs w:val="20"/>
      <w:lang w:eastAsia="ko-KR"/>
    </w:rPr>
  </w:style>
  <w:style w:type="character" w:customStyle="1" w:styleId="BodyTextChar">
    <w:name w:val="Body Text Char"/>
    <w:aliases w:val="Body Text x Char,Appendix 2 Char,bt Char,body text Char,t1 Char,taten_body Char,block Char,b-heading 1/heading 2 Char,bd Char,b Char,heading1body-heading2body Char,body Char,Body Text 1 Char,NoticeText-List Char,Body text Char,Body Char"/>
    <w:basedOn w:val="DefaultParagraphFont"/>
    <w:link w:val="BodyText"/>
    <w:uiPriority w:val="99"/>
    <w:rsid w:val="000A5790"/>
    <w:rPr>
      <w:rFonts w:ascii="Times New Roman" w:eastAsia="Batang" w:hAnsi="Times New Roman" w:cs="Times New Roman"/>
      <w:szCs w:val="20"/>
      <w:lang w:eastAsia="ko-KR"/>
    </w:rPr>
  </w:style>
  <w:style w:type="paragraph" w:styleId="NormalWeb">
    <w:name w:val="Normal (Web)"/>
    <w:basedOn w:val="Normal"/>
    <w:uiPriority w:val="99"/>
    <w:unhideWhenUsed/>
    <w:rsid w:val="005D2BA2"/>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0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8E"/>
    <w:rPr>
      <w:rFonts w:ascii="Segoe UI" w:hAnsi="Segoe UI" w:cs="Segoe UI"/>
      <w:sz w:val="18"/>
      <w:szCs w:val="18"/>
    </w:rPr>
  </w:style>
  <w:style w:type="character" w:styleId="CommentReference">
    <w:name w:val="annotation reference"/>
    <w:basedOn w:val="DefaultParagraphFont"/>
    <w:uiPriority w:val="99"/>
    <w:semiHidden/>
    <w:unhideWhenUsed/>
    <w:rsid w:val="008058D1"/>
    <w:rPr>
      <w:sz w:val="16"/>
      <w:szCs w:val="16"/>
    </w:rPr>
  </w:style>
  <w:style w:type="paragraph" w:styleId="CommentText">
    <w:name w:val="annotation text"/>
    <w:basedOn w:val="Normal"/>
    <w:link w:val="CommentTextChar"/>
    <w:uiPriority w:val="99"/>
    <w:unhideWhenUsed/>
    <w:rsid w:val="008058D1"/>
    <w:pPr>
      <w:spacing w:line="240" w:lineRule="auto"/>
    </w:pPr>
    <w:rPr>
      <w:sz w:val="20"/>
      <w:szCs w:val="20"/>
    </w:rPr>
  </w:style>
  <w:style w:type="character" w:customStyle="1" w:styleId="CommentTextChar">
    <w:name w:val="Comment Text Char"/>
    <w:basedOn w:val="DefaultParagraphFont"/>
    <w:link w:val="CommentText"/>
    <w:uiPriority w:val="99"/>
    <w:rsid w:val="008058D1"/>
    <w:rPr>
      <w:sz w:val="20"/>
      <w:szCs w:val="20"/>
    </w:rPr>
  </w:style>
  <w:style w:type="paragraph" w:styleId="CommentSubject">
    <w:name w:val="annotation subject"/>
    <w:basedOn w:val="CommentText"/>
    <w:next w:val="CommentText"/>
    <w:link w:val="CommentSubjectChar"/>
    <w:uiPriority w:val="99"/>
    <w:semiHidden/>
    <w:unhideWhenUsed/>
    <w:rsid w:val="008058D1"/>
    <w:rPr>
      <w:b/>
      <w:bCs/>
    </w:rPr>
  </w:style>
  <w:style w:type="character" w:customStyle="1" w:styleId="CommentSubjectChar">
    <w:name w:val="Comment Subject Char"/>
    <w:basedOn w:val="CommentTextChar"/>
    <w:link w:val="CommentSubject"/>
    <w:uiPriority w:val="99"/>
    <w:semiHidden/>
    <w:rsid w:val="008058D1"/>
    <w:rPr>
      <w:b/>
      <w:bCs/>
      <w:sz w:val="20"/>
      <w:szCs w:val="20"/>
    </w:rPr>
  </w:style>
  <w:style w:type="character" w:customStyle="1" w:styleId="Heading1Char">
    <w:name w:val="Heading 1 Char"/>
    <w:basedOn w:val="DefaultParagraphFont"/>
    <w:link w:val="Heading1"/>
    <w:uiPriority w:val="9"/>
    <w:rsid w:val="00336886"/>
    <w:rPr>
      <w:rFonts w:ascii="KPMG Extralight" w:hAnsi="KPMG Extralight"/>
      <w:color w:val="005EB8"/>
      <w:sz w:val="96"/>
    </w:rPr>
  </w:style>
  <w:style w:type="paragraph" w:styleId="TOCHeading">
    <w:name w:val="TOC Heading"/>
    <w:basedOn w:val="Heading1"/>
    <w:next w:val="Normal"/>
    <w:uiPriority w:val="39"/>
    <w:unhideWhenUsed/>
    <w:qFormat/>
    <w:rsid w:val="00DF2281"/>
    <w:pPr>
      <w:outlineLvl w:val="9"/>
    </w:pPr>
    <w:rPr>
      <w:lang w:val="en-US" w:eastAsia="en-US"/>
    </w:rPr>
  </w:style>
  <w:style w:type="character" w:customStyle="1" w:styleId="Heading2Char">
    <w:name w:val="Heading 2 Char"/>
    <w:basedOn w:val="DefaultParagraphFont"/>
    <w:link w:val="Heading2"/>
    <w:uiPriority w:val="9"/>
    <w:rsid w:val="000722AF"/>
    <w:rPr>
      <w:rFonts w:ascii="Univers 45 Light" w:hAnsi="Univers 45 Light"/>
      <w:b/>
      <w:color w:val="005EB8"/>
      <w:sz w:val="26"/>
      <w:szCs w:val="26"/>
    </w:rPr>
  </w:style>
  <w:style w:type="paragraph" w:styleId="TOC1">
    <w:name w:val="toc 1"/>
    <w:basedOn w:val="Normal"/>
    <w:next w:val="Normal"/>
    <w:autoRedefine/>
    <w:uiPriority w:val="39"/>
    <w:unhideWhenUsed/>
    <w:rsid w:val="00DF2281"/>
    <w:pPr>
      <w:spacing w:after="100"/>
    </w:pPr>
    <w:rPr>
      <w:rFonts w:ascii="Univers 45 Light" w:hAnsi="Univers 45 Light"/>
      <w:b/>
      <w:sz w:val="24"/>
    </w:rPr>
  </w:style>
  <w:style w:type="paragraph" w:styleId="TOC2">
    <w:name w:val="toc 2"/>
    <w:basedOn w:val="Normal"/>
    <w:next w:val="Normal"/>
    <w:autoRedefine/>
    <w:uiPriority w:val="39"/>
    <w:unhideWhenUsed/>
    <w:rsid w:val="00DF2281"/>
    <w:pPr>
      <w:spacing w:after="100"/>
      <w:ind w:left="220"/>
    </w:pPr>
    <w:rPr>
      <w:rFonts w:ascii="Univers 45 Light" w:hAnsi="Univers 45 Light"/>
    </w:rPr>
  </w:style>
  <w:style w:type="character" w:styleId="Hyperlink">
    <w:name w:val="Hyperlink"/>
    <w:basedOn w:val="DefaultParagraphFont"/>
    <w:uiPriority w:val="99"/>
    <w:unhideWhenUsed/>
    <w:rsid w:val="00DF2281"/>
    <w:rPr>
      <w:color w:val="0563C1" w:themeColor="hyperlink"/>
      <w:u w:val="single"/>
    </w:rPr>
  </w:style>
  <w:style w:type="paragraph" w:customStyle="1" w:styleId="Default">
    <w:name w:val="Default"/>
    <w:rsid w:val="0057649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99"/>
    <w:rsid w:val="006146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772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772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2D36"/>
    <w:rPr>
      <w:rFonts w:ascii="Univers 45 Light" w:eastAsiaTheme="majorEastAsia" w:hAnsi="Univers 45 Light" w:cstheme="majorBidi"/>
      <w:color w:val="2E74B5" w:themeColor="accent1" w:themeShade="BF"/>
      <w:sz w:val="24"/>
      <w:szCs w:val="24"/>
    </w:rPr>
  </w:style>
  <w:style w:type="paragraph" w:styleId="TOC3">
    <w:name w:val="toc 3"/>
    <w:basedOn w:val="Normal"/>
    <w:next w:val="Normal"/>
    <w:autoRedefine/>
    <w:uiPriority w:val="39"/>
    <w:unhideWhenUsed/>
    <w:rsid w:val="002A20A1"/>
    <w:pPr>
      <w:spacing w:after="100"/>
      <w:ind w:left="440"/>
    </w:pPr>
  </w:style>
  <w:style w:type="character" w:styleId="Emphasis">
    <w:name w:val="Emphasis"/>
    <w:basedOn w:val="DefaultParagraphFont"/>
    <w:uiPriority w:val="20"/>
    <w:qFormat/>
    <w:rsid w:val="000958AB"/>
    <w:rPr>
      <w:i/>
      <w:iCs/>
    </w:rPr>
  </w:style>
  <w:style w:type="paragraph" w:customStyle="1" w:styleId="Numbered">
    <w:name w:val="Numbered"/>
    <w:basedOn w:val="Normal"/>
    <w:link w:val="NumberedChar"/>
    <w:qFormat/>
    <w:rsid w:val="003A0143"/>
    <w:pPr>
      <w:widowControl w:val="0"/>
      <w:spacing w:before="160" w:line="240" w:lineRule="auto"/>
    </w:pPr>
    <w:rPr>
      <w:rFonts w:ascii="Arial" w:eastAsia="Times New Roman" w:hAnsi="Arial" w:cs="Arial"/>
      <w:bCs/>
      <w:iCs/>
      <w:lang w:eastAsia="en-US"/>
    </w:rPr>
  </w:style>
  <w:style w:type="character" w:customStyle="1" w:styleId="NumberedChar">
    <w:name w:val="Numbered Char"/>
    <w:basedOn w:val="DefaultParagraphFont"/>
    <w:link w:val="Numbered"/>
    <w:rsid w:val="003A0143"/>
    <w:rPr>
      <w:rFonts w:ascii="Arial" w:eastAsia="Times New Roman" w:hAnsi="Arial" w:cs="Arial"/>
      <w:bCs/>
      <w:iCs/>
      <w:lang w:eastAsia="en-US"/>
    </w:rPr>
  </w:style>
  <w:style w:type="character" w:customStyle="1" w:styleId="Heading4Char">
    <w:name w:val="Heading 4 Char"/>
    <w:basedOn w:val="DefaultParagraphFont"/>
    <w:link w:val="Heading4"/>
    <w:uiPriority w:val="9"/>
    <w:rsid w:val="00871FD3"/>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6F5A11"/>
    <w:pPr>
      <w:spacing w:before="120" w:after="0" w:line="260" w:lineRule="atLeast"/>
    </w:pPr>
    <w:rPr>
      <w:rFonts w:ascii="Times New Roman" w:eastAsiaTheme="minorHAnsi" w:hAnsi="Times New Roman" w:cs="Times New Roman"/>
      <w:sz w:val="18"/>
      <w:szCs w:val="18"/>
      <w:lang w:eastAsia="ko-KR"/>
    </w:rPr>
  </w:style>
  <w:style w:type="character" w:customStyle="1" w:styleId="FootnoteTextChar">
    <w:name w:val="Footnote Text Char"/>
    <w:basedOn w:val="DefaultParagraphFont"/>
    <w:link w:val="FootnoteText"/>
    <w:uiPriority w:val="99"/>
    <w:semiHidden/>
    <w:rsid w:val="006F5A11"/>
    <w:rPr>
      <w:rFonts w:ascii="Times New Roman" w:eastAsiaTheme="minorHAnsi" w:hAnsi="Times New Roman" w:cs="Times New Roman"/>
      <w:sz w:val="18"/>
      <w:szCs w:val="18"/>
      <w:lang w:eastAsia="ko-KR"/>
    </w:rPr>
  </w:style>
  <w:style w:type="character" w:styleId="FootnoteReference">
    <w:name w:val="footnote reference"/>
    <w:basedOn w:val="DefaultParagraphFont"/>
    <w:uiPriority w:val="99"/>
    <w:semiHidden/>
    <w:unhideWhenUsed/>
    <w:rsid w:val="006F5A11"/>
    <w:rPr>
      <w:vertAlign w:val="superscript"/>
    </w:rPr>
  </w:style>
  <w:style w:type="paragraph" w:styleId="Revision">
    <w:name w:val="Revision"/>
    <w:hidden/>
    <w:uiPriority w:val="99"/>
    <w:semiHidden/>
    <w:rsid w:val="003571EF"/>
    <w:pPr>
      <w:spacing w:after="0" w:line="240" w:lineRule="auto"/>
    </w:pPr>
  </w:style>
  <w:style w:type="paragraph" w:customStyle="1" w:styleId="BodyText1">
    <w:name w:val="Body Text1"/>
    <w:basedOn w:val="Normal"/>
    <w:link w:val="BodyText1Char"/>
    <w:qFormat/>
    <w:rsid w:val="000A5FFF"/>
    <w:pPr>
      <w:spacing w:before="120" w:after="0" w:line="240" w:lineRule="auto"/>
    </w:pPr>
    <w:rPr>
      <w:rFonts w:ascii="Arial" w:eastAsia="Arial" w:hAnsi="Arial" w:cs="Arial"/>
      <w:lang w:eastAsia="en-US"/>
    </w:rPr>
  </w:style>
  <w:style w:type="character" w:customStyle="1" w:styleId="BodyText1Char">
    <w:name w:val="Body Text1 Char"/>
    <w:basedOn w:val="DefaultParagraphFont"/>
    <w:link w:val="BodyText1"/>
    <w:locked/>
    <w:rsid w:val="000A5FFF"/>
    <w:rPr>
      <w:rFonts w:ascii="Arial" w:eastAsia="Arial" w:hAnsi="Arial" w:cs="Arial"/>
      <w:lang w:eastAsia="en-US"/>
    </w:rPr>
  </w:style>
  <w:style w:type="paragraph" w:customStyle="1" w:styleId="Issuedate">
    <w:name w:val="Issue date"/>
    <w:basedOn w:val="Normal"/>
    <w:next w:val="Normal"/>
    <w:link w:val="IssuedateChar"/>
    <w:rsid w:val="00E3436C"/>
    <w:pPr>
      <w:tabs>
        <w:tab w:val="left" w:pos="340"/>
      </w:tabs>
      <w:spacing w:before="60" w:after="120" w:line="220" w:lineRule="atLeast"/>
    </w:pPr>
    <w:rPr>
      <w:rFonts w:ascii="Arial" w:eastAsia="Times New Roman" w:hAnsi="Arial" w:cs="Times New Roman"/>
      <w:sz w:val="20"/>
      <w:szCs w:val="20"/>
      <w:lang w:eastAsia="en-US"/>
    </w:rPr>
  </w:style>
  <w:style w:type="character" w:customStyle="1" w:styleId="IssuedateChar">
    <w:name w:val="Issue date Char"/>
    <w:link w:val="Issuedate"/>
    <w:rsid w:val="00E3436C"/>
    <w:rPr>
      <w:rFonts w:ascii="Arial" w:eastAsia="Times New Roman" w:hAnsi="Arial" w:cs="Times New Roman"/>
      <w:sz w:val="20"/>
      <w:szCs w:val="20"/>
      <w:lang w:eastAsia="en-US"/>
    </w:rPr>
  </w:style>
  <w:style w:type="paragraph" w:customStyle="1" w:styleId="ListBulletcoloured">
    <w:name w:val="List Bullet coloured"/>
    <w:basedOn w:val="ListBullet"/>
    <w:qFormat/>
    <w:rsid w:val="00E3436C"/>
    <w:pPr>
      <w:spacing w:after="80" w:line="220" w:lineRule="atLeast"/>
      <w:contextualSpacing w:val="0"/>
    </w:pPr>
    <w:rPr>
      <w:rFonts w:ascii="Arial" w:eastAsia="Times New Roman" w:hAnsi="Arial" w:cs="Times New Roman"/>
      <w:sz w:val="20"/>
      <w:szCs w:val="20"/>
      <w:lang w:eastAsia="en-US"/>
    </w:rPr>
  </w:style>
  <w:style w:type="paragraph" w:styleId="ListBullet">
    <w:name w:val="List Bullet"/>
    <w:basedOn w:val="Normal"/>
    <w:uiPriority w:val="99"/>
    <w:semiHidden/>
    <w:unhideWhenUsed/>
    <w:rsid w:val="00E3436C"/>
    <w:pPr>
      <w:ind w:left="1080" w:hanging="360"/>
      <w:contextualSpacing/>
    </w:pPr>
  </w:style>
  <w:style w:type="paragraph" w:customStyle="1" w:styleId="Partnerlogo">
    <w:name w:val="Partner logo"/>
    <w:basedOn w:val="Normal"/>
    <w:next w:val="Normal"/>
    <w:rsid w:val="00E3436C"/>
    <w:pPr>
      <w:framePr w:w="4536" w:wrap="around" w:hAnchor="margin" w:xAlign="right" w:yAlign="bottom"/>
      <w:tabs>
        <w:tab w:val="left" w:pos="340"/>
      </w:tabs>
      <w:spacing w:before="60" w:after="120" w:line="220" w:lineRule="atLeast"/>
    </w:pPr>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8176">
      <w:bodyDiv w:val="1"/>
      <w:marLeft w:val="0"/>
      <w:marRight w:val="0"/>
      <w:marTop w:val="0"/>
      <w:marBottom w:val="0"/>
      <w:divBdr>
        <w:top w:val="none" w:sz="0" w:space="0" w:color="auto"/>
        <w:left w:val="none" w:sz="0" w:space="0" w:color="auto"/>
        <w:bottom w:val="none" w:sz="0" w:space="0" w:color="auto"/>
        <w:right w:val="none" w:sz="0" w:space="0" w:color="auto"/>
      </w:divBdr>
    </w:div>
    <w:div w:id="61947553">
      <w:bodyDiv w:val="1"/>
      <w:marLeft w:val="0"/>
      <w:marRight w:val="0"/>
      <w:marTop w:val="0"/>
      <w:marBottom w:val="0"/>
      <w:divBdr>
        <w:top w:val="none" w:sz="0" w:space="0" w:color="auto"/>
        <w:left w:val="none" w:sz="0" w:space="0" w:color="auto"/>
        <w:bottom w:val="none" w:sz="0" w:space="0" w:color="auto"/>
        <w:right w:val="none" w:sz="0" w:space="0" w:color="auto"/>
      </w:divBdr>
    </w:div>
    <w:div w:id="86080142">
      <w:bodyDiv w:val="1"/>
      <w:marLeft w:val="0"/>
      <w:marRight w:val="0"/>
      <w:marTop w:val="0"/>
      <w:marBottom w:val="0"/>
      <w:divBdr>
        <w:top w:val="none" w:sz="0" w:space="0" w:color="auto"/>
        <w:left w:val="none" w:sz="0" w:space="0" w:color="auto"/>
        <w:bottom w:val="none" w:sz="0" w:space="0" w:color="auto"/>
        <w:right w:val="none" w:sz="0" w:space="0" w:color="auto"/>
      </w:divBdr>
      <w:divsChild>
        <w:div w:id="135266884">
          <w:marLeft w:val="274"/>
          <w:marRight w:val="0"/>
          <w:marTop w:val="120"/>
          <w:marBottom w:val="120"/>
          <w:divBdr>
            <w:top w:val="none" w:sz="0" w:space="0" w:color="auto"/>
            <w:left w:val="none" w:sz="0" w:space="0" w:color="auto"/>
            <w:bottom w:val="none" w:sz="0" w:space="0" w:color="auto"/>
            <w:right w:val="none" w:sz="0" w:space="0" w:color="auto"/>
          </w:divBdr>
        </w:div>
      </w:divsChild>
    </w:div>
    <w:div w:id="92283170">
      <w:bodyDiv w:val="1"/>
      <w:marLeft w:val="0"/>
      <w:marRight w:val="0"/>
      <w:marTop w:val="0"/>
      <w:marBottom w:val="0"/>
      <w:divBdr>
        <w:top w:val="none" w:sz="0" w:space="0" w:color="auto"/>
        <w:left w:val="none" w:sz="0" w:space="0" w:color="auto"/>
        <w:bottom w:val="none" w:sz="0" w:space="0" w:color="auto"/>
        <w:right w:val="none" w:sz="0" w:space="0" w:color="auto"/>
      </w:divBdr>
    </w:div>
    <w:div w:id="110056975">
      <w:bodyDiv w:val="1"/>
      <w:marLeft w:val="0"/>
      <w:marRight w:val="0"/>
      <w:marTop w:val="0"/>
      <w:marBottom w:val="0"/>
      <w:divBdr>
        <w:top w:val="none" w:sz="0" w:space="0" w:color="auto"/>
        <w:left w:val="none" w:sz="0" w:space="0" w:color="auto"/>
        <w:bottom w:val="none" w:sz="0" w:space="0" w:color="auto"/>
        <w:right w:val="none" w:sz="0" w:space="0" w:color="auto"/>
      </w:divBdr>
    </w:div>
    <w:div w:id="153375445">
      <w:bodyDiv w:val="1"/>
      <w:marLeft w:val="0"/>
      <w:marRight w:val="0"/>
      <w:marTop w:val="0"/>
      <w:marBottom w:val="0"/>
      <w:divBdr>
        <w:top w:val="none" w:sz="0" w:space="0" w:color="auto"/>
        <w:left w:val="none" w:sz="0" w:space="0" w:color="auto"/>
        <w:bottom w:val="none" w:sz="0" w:space="0" w:color="auto"/>
        <w:right w:val="none" w:sz="0" w:space="0" w:color="auto"/>
      </w:divBdr>
      <w:divsChild>
        <w:div w:id="1272976886">
          <w:marLeft w:val="144"/>
          <w:marRight w:val="0"/>
          <w:marTop w:val="0"/>
          <w:marBottom w:val="0"/>
          <w:divBdr>
            <w:top w:val="none" w:sz="0" w:space="0" w:color="auto"/>
            <w:left w:val="none" w:sz="0" w:space="0" w:color="auto"/>
            <w:bottom w:val="none" w:sz="0" w:space="0" w:color="auto"/>
            <w:right w:val="none" w:sz="0" w:space="0" w:color="auto"/>
          </w:divBdr>
        </w:div>
      </w:divsChild>
    </w:div>
    <w:div w:id="192302735">
      <w:bodyDiv w:val="1"/>
      <w:marLeft w:val="0"/>
      <w:marRight w:val="0"/>
      <w:marTop w:val="0"/>
      <w:marBottom w:val="0"/>
      <w:divBdr>
        <w:top w:val="none" w:sz="0" w:space="0" w:color="auto"/>
        <w:left w:val="none" w:sz="0" w:space="0" w:color="auto"/>
        <w:bottom w:val="none" w:sz="0" w:space="0" w:color="auto"/>
        <w:right w:val="none" w:sz="0" w:space="0" w:color="auto"/>
      </w:divBdr>
      <w:divsChild>
        <w:div w:id="149176505">
          <w:marLeft w:val="274"/>
          <w:marRight w:val="0"/>
          <w:marTop w:val="120"/>
          <w:marBottom w:val="120"/>
          <w:divBdr>
            <w:top w:val="none" w:sz="0" w:space="0" w:color="auto"/>
            <w:left w:val="none" w:sz="0" w:space="0" w:color="auto"/>
            <w:bottom w:val="none" w:sz="0" w:space="0" w:color="auto"/>
            <w:right w:val="none" w:sz="0" w:space="0" w:color="auto"/>
          </w:divBdr>
        </w:div>
      </w:divsChild>
    </w:div>
    <w:div w:id="202600950">
      <w:bodyDiv w:val="1"/>
      <w:marLeft w:val="0"/>
      <w:marRight w:val="0"/>
      <w:marTop w:val="0"/>
      <w:marBottom w:val="0"/>
      <w:divBdr>
        <w:top w:val="none" w:sz="0" w:space="0" w:color="auto"/>
        <w:left w:val="none" w:sz="0" w:space="0" w:color="auto"/>
        <w:bottom w:val="none" w:sz="0" w:space="0" w:color="auto"/>
        <w:right w:val="none" w:sz="0" w:space="0" w:color="auto"/>
      </w:divBdr>
      <w:divsChild>
        <w:div w:id="1530417091">
          <w:marLeft w:val="274"/>
          <w:marRight w:val="0"/>
          <w:marTop w:val="120"/>
          <w:marBottom w:val="120"/>
          <w:divBdr>
            <w:top w:val="none" w:sz="0" w:space="0" w:color="auto"/>
            <w:left w:val="none" w:sz="0" w:space="0" w:color="auto"/>
            <w:bottom w:val="none" w:sz="0" w:space="0" w:color="auto"/>
            <w:right w:val="none" w:sz="0" w:space="0" w:color="auto"/>
          </w:divBdr>
        </w:div>
      </w:divsChild>
    </w:div>
    <w:div w:id="345986386">
      <w:bodyDiv w:val="1"/>
      <w:marLeft w:val="0"/>
      <w:marRight w:val="0"/>
      <w:marTop w:val="0"/>
      <w:marBottom w:val="0"/>
      <w:divBdr>
        <w:top w:val="none" w:sz="0" w:space="0" w:color="auto"/>
        <w:left w:val="none" w:sz="0" w:space="0" w:color="auto"/>
        <w:bottom w:val="none" w:sz="0" w:space="0" w:color="auto"/>
        <w:right w:val="none" w:sz="0" w:space="0" w:color="auto"/>
      </w:divBdr>
    </w:div>
    <w:div w:id="654407717">
      <w:bodyDiv w:val="1"/>
      <w:marLeft w:val="0"/>
      <w:marRight w:val="0"/>
      <w:marTop w:val="0"/>
      <w:marBottom w:val="0"/>
      <w:divBdr>
        <w:top w:val="none" w:sz="0" w:space="0" w:color="auto"/>
        <w:left w:val="none" w:sz="0" w:space="0" w:color="auto"/>
        <w:bottom w:val="none" w:sz="0" w:space="0" w:color="auto"/>
        <w:right w:val="none" w:sz="0" w:space="0" w:color="auto"/>
      </w:divBdr>
    </w:div>
    <w:div w:id="691615459">
      <w:bodyDiv w:val="1"/>
      <w:marLeft w:val="0"/>
      <w:marRight w:val="0"/>
      <w:marTop w:val="0"/>
      <w:marBottom w:val="0"/>
      <w:divBdr>
        <w:top w:val="none" w:sz="0" w:space="0" w:color="auto"/>
        <w:left w:val="none" w:sz="0" w:space="0" w:color="auto"/>
        <w:bottom w:val="none" w:sz="0" w:space="0" w:color="auto"/>
        <w:right w:val="none" w:sz="0" w:space="0" w:color="auto"/>
      </w:divBdr>
      <w:divsChild>
        <w:div w:id="308290220">
          <w:marLeft w:val="144"/>
          <w:marRight w:val="0"/>
          <w:marTop w:val="0"/>
          <w:marBottom w:val="0"/>
          <w:divBdr>
            <w:top w:val="none" w:sz="0" w:space="0" w:color="auto"/>
            <w:left w:val="none" w:sz="0" w:space="0" w:color="auto"/>
            <w:bottom w:val="none" w:sz="0" w:space="0" w:color="auto"/>
            <w:right w:val="none" w:sz="0" w:space="0" w:color="auto"/>
          </w:divBdr>
        </w:div>
        <w:div w:id="1251692767">
          <w:marLeft w:val="144"/>
          <w:marRight w:val="0"/>
          <w:marTop w:val="0"/>
          <w:marBottom w:val="0"/>
          <w:divBdr>
            <w:top w:val="none" w:sz="0" w:space="0" w:color="auto"/>
            <w:left w:val="none" w:sz="0" w:space="0" w:color="auto"/>
            <w:bottom w:val="none" w:sz="0" w:space="0" w:color="auto"/>
            <w:right w:val="none" w:sz="0" w:space="0" w:color="auto"/>
          </w:divBdr>
        </w:div>
        <w:div w:id="1971862250">
          <w:marLeft w:val="144"/>
          <w:marRight w:val="0"/>
          <w:marTop w:val="0"/>
          <w:marBottom w:val="0"/>
          <w:divBdr>
            <w:top w:val="none" w:sz="0" w:space="0" w:color="auto"/>
            <w:left w:val="none" w:sz="0" w:space="0" w:color="auto"/>
            <w:bottom w:val="none" w:sz="0" w:space="0" w:color="auto"/>
            <w:right w:val="none" w:sz="0" w:space="0" w:color="auto"/>
          </w:divBdr>
        </w:div>
      </w:divsChild>
    </w:div>
    <w:div w:id="870609616">
      <w:bodyDiv w:val="1"/>
      <w:marLeft w:val="0"/>
      <w:marRight w:val="0"/>
      <w:marTop w:val="0"/>
      <w:marBottom w:val="0"/>
      <w:divBdr>
        <w:top w:val="none" w:sz="0" w:space="0" w:color="auto"/>
        <w:left w:val="none" w:sz="0" w:space="0" w:color="auto"/>
        <w:bottom w:val="none" w:sz="0" w:space="0" w:color="auto"/>
        <w:right w:val="none" w:sz="0" w:space="0" w:color="auto"/>
      </w:divBdr>
      <w:divsChild>
        <w:div w:id="512183694">
          <w:marLeft w:val="418"/>
          <w:marRight w:val="0"/>
          <w:marTop w:val="0"/>
          <w:marBottom w:val="0"/>
          <w:divBdr>
            <w:top w:val="none" w:sz="0" w:space="0" w:color="auto"/>
            <w:left w:val="none" w:sz="0" w:space="0" w:color="auto"/>
            <w:bottom w:val="none" w:sz="0" w:space="0" w:color="auto"/>
            <w:right w:val="none" w:sz="0" w:space="0" w:color="auto"/>
          </w:divBdr>
        </w:div>
        <w:div w:id="1243367544">
          <w:marLeft w:val="418"/>
          <w:marRight w:val="0"/>
          <w:marTop w:val="0"/>
          <w:marBottom w:val="0"/>
          <w:divBdr>
            <w:top w:val="none" w:sz="0" w:space="0" w:color="auto"/>
            <w:left w:val="none" w:sz="0" w:space="0" w:color="auto"/>
            <w:bottom w:val="none" w:sz="0" w:space="0" w:color="auto"/>
            <w:right w:val="none" w:sz="0" w:space="0" w:color="auto"/>
          </w:divBdr>
        </w:div>
        <w:div w:id="1893074593">
          <w:marLeft w:val="418"/>
          <w:marRight w:val="0"/>
          <w:marTop w:val="0"/>
          <w:marBottom w:val="0"/>
          <w:divBdr>
            <w:top w:val="none" w:sz="0" w:space="0" w:color="auto"/>
            <w:left w:val="none" w:sz="0" w:space="0" w:color="auto"/>
            <w:bottom w:val="none" w:sz="0" w:space="0" w:color="auto"/>
            <w:right w:val="none" w:sz="0" w:space="0" w:color="auto"/>
          </w:divBdr>
        </w:div>
        <w:div w:id="1969427808">
          <w:marLeft w:val="418"/>
          <w:marRight w:val="0"/>
          <w:marTop w:val="0"/>
          <w:marBottom w:val="0"/>
          <w:divBdr>
            <w:top w:val="none" w:sz="0" w:space="0" w:color="auto"/>
            <w:left w:val="none" w:sz="0" w:space="0" w:color="auto"/>
            <w:bottom w:val="none" w:sz="0" w:space="0" w:color="auto"/>
            <w:right w:val="none" w:sz="0" w:space="0" w:color="auto"/>
          </w:divBdr>
        </w:div>
      </w:divsChild>
    </w:div>
    <w:div w:id="957176985">
      <w:bodyDiv w:val="1"/>
      <w:marLeft w:val="0"/>
      <w:marRight w:val="0"/>
      <w:marTop w:val="0"/>
      <w:marBottom w:val="0"/>
      <w:divBdr>
        <w:top w:val="none" w:sz="0" w:space="0" w:color="auto"/>
        <w:left w:val="none" w:sz="0" w:space="0" w:color="auto"/>
        <w:bottom w:val="none" w:sz="0" w:space="0" w:color="auto"/>
        <w:right w:val="none" w:sz="0" w:space="0" w:color="auto"/>
      </w:divBdr>
      <w:divsChild>
        <w:div w:id="326831939">
          <w:marLeft w:val="274"/>
          <w:marRight w:val="0"/>
          <w:marTop w:val="60"/>
          <w:marBottom w:val="60"/>
          <w:divBdr>
            <w:top w:val="none" w:sz="0" w:space="0" w:color="auto"/>
            <w:left w:val="none" w:sz="0" w:space="0" w:color="auto"/>
            <w:bottom w:val="none" w:sz="0" w:space="0" w:color="auto"/>
            <w:right w:val="none" w:sz="0" w:space="0" w:color="auto"/>
          </w:divBdr>
        </w:div>
        <w:div w:id="538981706">
          <w:marLeft w:val="274"/>
          <w:marRight w:val="0"/>
          <w:marTop w:val="60"/>
          <w:marBottom w:val="60"/>
          <w:divBdr>
            <w:top w:val="none" w:sz="0" w:space="0" w:color="auto"/>
            <w:left w:val="none" w:sz="0" w:space="0" w:color="auto"/>
            <w:bottom w:val="none" w:sz="0" w:space="0" w:color="auto"/>
            <w:right w:val="none" w:sz="0" w:space="0" w:color="auto"/>
          </w:divBdr>
        </w:div>
        <w:div w:id="968125215">
          <w:marLeft w:val="274"/>
          <w:marRight w:val="0"/>
          <w:marTop w:val="60"/>
          <w:marBottom w:val="60"/>
          <w:divBdr>
            <w:top w:val="none" w:sz="0" w:space="0" w:color="auto"/>
            <w:left w:val="none" w:sz="0" w:space="0" w:color="auto"/>
            <w:bottom w:val="none" w:sz="0" w:space="0" w:color="auto"/>
            <w:right w:val="none" w:sz="0" w:space="0" w:color="auto"/>
          </w:divBdr>
        </w:div>
        <w:div w:id="1133711393">
          <w:marLeft w:val="274"/>
          <w:marRight w:val="0"/>
          <w:marTop w:val="60"/>
          <w:marBottom w:val="60"/>
          <w:divBdr>
            <w:top w:val="none" w:sz="0" w:space="0" w:color="auto"/>
            <w:left w:val="none" w:sz="0" w:space="0" w:color="auto"/>
            <w:bottom w:val="none" w:sz="0" w:space="0" w:color="auto"/>
            <w:right w:val="none" w:sz="0" w:space="0" w:color="auto"/>
          </w:divBdr>
        </w:div>
        <w:div w:id="1768691106">
          <w:marLeft w:val="274"/>
          <w:marRight w:val="0"/>
          <w:marTop w:val="60"/>
          <w:marBottom w:val="60"/>
          <w:divBdr>
            <w:top w:val="none" w:sz="0" w:space="0" w:color="auto"/>
            <w:left w:val="none" w:sz="0" w:space="0" w:color="auto"/>
            <w:bottom w:val="none" w:sz="0" w:space="0" w:color="auto"/>
            <w:right w:val="none" w:sz="0" w:space="0" w:color="auto"/>
          </w:divBdr>
        </w:div>
        <w:div w:id="2039118714">
          <w:marLeft w:val="274"/>
          <w:marRight w:val="0"/>
          <w:marTop w:val="60"/>
          <w:marBottom w:val="60"/>
          <w:divBdr>
            <w:top w:val="none" w:sz="0" w:space="0" w:color="auto"/>
            <w:left w:val="none" w:sz="0" w:space="0" w:color="auto"/>
            <w:bottom w:val="none" w:sz="0" w:space="0" w:color="auto"/>
            <w:right w:val="none" w:sz="0" w:space="0" w:color="auto"/>
          </w:divBdr>
        </w:div>
      </w:divsChild>
    </w:div>
    <w:div w:id="968902933">
      <w:bodyDiv w:val="1"/>
      <w:marLeft w:val="0"/>
      <w:marRight w:val="0"/>
      <w:marTop w:val="0"/>
      <w:marBottom w:val="0"/>
      <w:divBdr>
        <w:top w:val="none" w:sz="0" w:space="0" w:color="auto"/>
        <w:left w:val="none" w:sz="0" w:space="0" w:color="auto"/>
        <w:bottom w:val="none" w:sz="0" w:space="0" w:color="auto"/>
        <w:right w:val="none" w:sz="0" w:space="0" w:color="auto"/>
      </w:divBdr>
    </w:div>
    <w:div w:id="975598655">
      <w:bodyDiv w:val="1"/>
      <w:marLeft w:val="0"/>
      <w:marRight w:val="0"/>
      <w:marTop w:val="0"/>
      <w:marBottom w:val="0"/>
      <w:divBdr>
        <w:top w:val="none" w:sz="0" w:space="0" w:color="auto"/>
        <w:left w:val="none" w:sz="0" w:space="0" w:color="auto"/>
        <w:bottom w:val="none" w:sz="0" w:space="0" w:color="auto"/>
        <w:right w:val="none" w:sz="0" w:space="0" w:color="auto"/>
      </w:divBdr>
    </w:div>
    <w:div w:id="1088506353">
      <w:bodyDiv w:val="1"/>
      <w:marLeft w:val="0"/>
      <w:marRight w:val="0"/>
      <w:marTop w:val="0"/>
      <w:marBottom w:val="0"/>
      <w:divBdr>
        <w:top w:val="none" w:sz="0" w:space="0" w:color="auto"/>
        <w:left w:val="none" w:sz="0" w:space="0" w:color="auto"/>
        <w:bottom w:val="none" w:sz="0" w:space="0" w:color="auto"/>
        <w:right w:val="none" w:sz="0" w:space="0" w:color="auto"/>
      </w:divBdr>
    </w:div>
    <w:div w:id="1278416936">
      <w:bodyDiv w:val="1"/>
      <w:marLeft w:val="0"/>
      <w:marRight w:val="0"/>
      <w:marTop w:val="0"/>
      <w:marBottom w:val="0"/>
      <w:divBdr>
        <w:top w:val="none" w:sz="0" w:space="0" w:color="auto"/>
        <w:left w:val="none" w:sz="0" w:space="0" w:color="auto"/>
        <w:bottom w:val="none" w:sz="0" w:space="0" w:color="auto"/>
        <w:right w:val="none" w:sz="0" w:space="0" w:color="auto"/>
      </w:divBdr>
    </w:div>
    <w:div w:id="1342662371">
      <w:bodyDiv w:val="1"/>
      <w:marLeft w:val="0"/>
      <w:marRight w:val="0"/>
      <w:marTop w:val="0"/>
      <w:marBottom w:val="0"/>
      <w:divBdr>
        <w:top w:val="none" w:sz="0" w:space="0" w:color="auto"/>
        <w:left w:val="none" w:sz="0" w:space="0" w:color="auto"/>
        <w:bottom w:val="none" w:sz="0" w:space="0" w:color="auto"/>
        <w:right w:val="none" w:sz="0" w:space="0" w:color="auto"/>
      </w:divBdr>
    </w:div>
    <w:div w:id="1363088791">
      <w:bodyDiv w:val="1"/>
      <w:marLeft w:val="0"/>
      <w:marRight w:val="0"/>
      <w:marTop w:val="0"/>
      <w:marBottom w:val="0"/>
      <w:divBdr>
        <w:top w:val="none" w:sz="0" w:space="0" w:color="auto"/>
        <w:left w:val="none" w:sz="0" w:space="0" w:color="auto"/>
        <w:bottom w:val="none" w:sz="0" w:space="0" w:color="auto"/>
        <w:right w:val="none" w:sz="0" w:space="0" w:color="auto"/>
      </w:divBdr>
    </w:div>
    <w:div w:id="1390953263">
      <w:bodyDiv w:val="1"/>
      <w:marLeft w:val="0"/>
      <w:marRight w:val="0"/>
      <w:marTop w:val="0"/>
      <w:marBottom w:val="0"/>
      <w:divBdr>
        <w:top w:val="none" w:sz="0" w:space="0" w:color="auto"/>
        <w:left w:val="none" w:sz="0" w:space="0" w:color="auto"/>
        <w:bottom w:val="none" w:sz="0" w:space="0" w:color="auto"/>
        <w:right w:val="none" w:sz="0" w:space="0" w:color="auto"/>
      </w:divBdr>
    </w:div>
    <w:div w:id="1392725981">
      <w:bodyDiv w:val="1"/>
      <w:marLeft w:val="0"/>
      <w:marRight w:val="0"/>
      <w:marTop w:val="0"/>
      <w:marBottom w:val="0"/>
      <w:divBdr>
        <w:top w:val="none" w:sz="0" w:space="0" w:color="auto"/>
        <w:left w:val="none" w:sz="0" w:space="0" w:color="auto"/>
        <w:bottom w:val="none" w:sz="0" w:space="0" w:color="auto"/>
        <w:right w:val="none" w:sz="0" w:space="0" w:color="auto"/>
      </w:divBdr>
    </w:div>
    <w:div w:id="1538854367">
      <w:bodyDiv w:val="1"/>
      <w:marLeft w:val="0"/>
      <w:marRight w:val="0"/>
      <w:marTop w:val="0"/>
      <w:marBottom w:val="0"/>
      <w:divBdr>
        <w:top w:val="none" w:sz="0" w:space="0" w:color="auto"/>
        <w:left w:val="none" w:sz="0" w:space="0" w:color="auto"/>
        <w:bottom w:val="none" w:sz="0" w:space="0" w:color="auto"/>
        <w:right w:val="none" w:sz="0" w:space="0" w:color="auto"/>
      </w:divBdr>
    </w:div>
    <w:div w:id="1647586664">
      <w:bodyDiv w:val="1"/>
      <w:marLeft w:val="0"/>
      <w:marRight w:val="0"/>
      <w:marTop w:val="0"/>
      <w:marBottom w:val="0"/>
      <w:divBdr>
        <w:top w:val="none" w:sz="0" w:space="0" w:color="auto"/>
        <w:left w:val="none" w:sz="0" w:space="0" w:color="auto"/>
        <w:bottom w:val="none" w:sz="0" w:space="0" w:color="auto"/>
        <w:right w:val="none" w:sz="0" w:space="0" w:color="auto"/>
      </w:divBdr>
    </w:div>
    <w:div w:id="1868789923">
      <w:bodyDiv w:val="1"/>
      <w:marLeft w:val="0"/>
      <w:marRight w:val="0"/>
      <w:marTop w:val="0"/>
      <w:marBottom w:val="0"/>
      <w:divBdr>
        <w:top w:val="none" w:sz="0" w:space="0" w:color="auto"/>
        <w:left w:val="none" w:sz="0" w:space="0" w:color="auto"/>
        <w:bottom w:val="none" w:sz="0" w:space="0" w:color="auto"/>
        <w:right w:val="none" w:sz="0" w:space="0" w:color="auto"/>
      </w:divBdr>
    </w:div>
    <w:div w:id="2090499471">
      <w:bodyDiv w:val="1"/>
      <w:marLeft w:val="0"/>
      <w:marRight w:val="0"/>
      <w:marTop w:val="0"/>
      <w:marBottom w:val="0"/>
      <w:divBdr>
        <w:top w:val="none" w:sz="0" w:space="0" w:color="auto"/>
        <w:left w:val="none" w:sz="0" w:space="0" w:color="auto"/>
        <w:bottom w:val="none" w:sz="0" w:space="0" w:color="auto"/>
        <w:right w:val="none" w:sz="0" w:space="0" w:color="auto"/>
      </w:divBdr>
    </w:div>
    <w:div w:id="2117213071">
      <w:bodyDiv w:val="1"/>
      <w:marLeft w:val="0"/>
      <w:marRight w:val="0"/>
      <w:marTop w:val="0"/>
      <w:marBottom w:val="0"/>
      <w:divBdr>
        <w:top w:val="none" w:sz="0" w:space="0" w:color="auto"/>
        <w:left w:val="none" w:sz="0" w:space="0" w:color="auto"/>
        <w:bottom w:val="none" w:sz="0" w:space="0" w:color="auto"/>
        <w:right w:val="none" w:sz="0" w:space="0" w:color="auto"/>
      </w:divBdr>
    </w:div>
    <w:div w:id="21186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5E9155F-CDC1-429A-B4F4-3A89D54E4BC6}"/>
</file>

<file path=customXml/itemProps2.xml><?xml version="1.0" encoding="utf-8"?>
<ds:datastoreItem xmlns:ds="http://schemas.openxmlformats.org/officeDocument/2006/customXml" ds:itemID="{EB3F894A-A478-436C-8737-AA8D378723C8}"/>
</file>

<file path=customXml/itemProps3.xml><?xml version="1.0" encoding="utf-8"?>
<ds:datastoreItem xmlns:ds="http://schemas.openxmlformats.org/officeDocument/2006/customXml" ds:itemID="{43EB01AA-4B43-4AD4-BD75-01606A7E240E}"/>
</file>

<file path=customXml/itemProps4.xml><?xml version="1.0" encoding="utf-8"?>
<ds:datastoreItem xmlns:ds="http://schemas.openxmlformats.org/officeDocument/2006/customXml" ds:itemID="{892808AD-F8B9-4FB8-A724-14830A175851}"/>
</file>

<file path=docProps/app.xml><?xml version="1.0" encoding="utf-8"?>
<Properties xmlns="http://schemas.openxmlformats.org/officeDocument/2006/extended-properties" xmlns:vt="http://schemas.openxmlformats.org/officeDocument/2006/docPropsVTypes">
  <Template>Normal</Template>
  <TotalTime>0</TotalTime>
  <Pages>19</Pages>
  <Words>8770</Words>
  <Characters>49991</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2019-04-23T02:25:00Z</dcterms:created>
  <dcterms:modified xsi:type="dcterms:W3CDTF">2019-04-23T02:25:00Z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