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C49" w:rsidRPr="007972B0" w:rsidRDefault="00C23339" w:rsidP="00A10C49">
      <w:pPr>
        <w:jc w:val="both"/>
      </w:pPr>
      <w:r>
        <w:rPr>
          <w:noProof/>
          <w:lang w:eastAsia="en-AU"/>
        </w:rPr>
        <w:pict>
          <v:group id="Group 12" o:spid="_x0000_s1026" style="position:absolute;left:0;text-align:left;margin-left:8.85pt;margin-top:306.45pt;width:448.65pt;height:248.25pt;z-index:251659264" coordorigin="2445,7830" coordsize="8973,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">
            <v:shapetype id="_x0000_t202" coordsize="21600,21600" o:spt="202" path="m,l,21600r21600,l21600,xe">
              <v:stroke joinstyle="miter"/>
              <v:path gradientshapeok="t" o:connecttype="rect"/>
            </v:shapetype>
            <v:shape id="Text Box 3" o:spid="_x0000_s1027" type="#_x0000_t202" style="position:absolute;left:2640;top:7830;width:25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HOcUA&#10;AADaAAAADwAAAGRycy9kb3ducmV2LnhtbESPT2vCQBTE7wW/w/KEXkQ3balKzCoi2PZQFP+A10f2&#10;mYRk36a7W5N++26h4HGYmd8w2ao3jbiR85VlBU+TBARxbnXFhYLzaTueg/ABWWNjmRT8kIfVcvCQ&#10;Yaptxwe6HUMhIoR9igrKENpUSp+XZNBPbEscvat1BkOUrpDaYRfhppHPSTKVBiuOCyW2tCkpr4/f&#10;RsF0tvu8vHa1H7Vf7/tiJF2XvzmlHof9egEiUB/u4f/2h1bwAn9X4g2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gc5xQAAANoAAAAPAAAAAAAAAAAAAAAAAJgCAABkcnMv&#10;ZG93bnJldi54bWxQSwUGAAAAAAQABAD1AAAAigMAAAAA&#10;" fillcolor="#ffc000" stroked="f">
              <v:textbox>
                <w:txbxContent>
                  <w:p w:rsidR="00DE4F2B" w:rsidRPr="008A0C07" w:rsidRDefault="00780634" w:rsidP="00A10C49">
                    <w:pPr>
                      <w:rPr>
                        <w:rFonts w:ascii="Corbel" w:hAnsi="Corbel"/>
                        <w:b/>
                        <w:smallCaps/>
                        <w:sz w:val="32"/>
                        <w:szCs w:val="32"/>
                      </w:rPr>
                    </w:pPr>
                    <w:r>
                      <w:rPr>
                        <w:rFonts w:ascii="Corbel" w:hAnsi="Corbel"/>
                        <w:b/>
                        <w:smallCaps/>
                        <w:sz w:val="32"/>
                        <w:szCs w:val="32"/>
                      </w:rPr>
                      <w:t xml:space="preserve">Final </w:t>
                    </w:r>
                    <w:r w:rsidR="00DE4F2B">
                      <w:rPr>
                        <w:rFonts w:ascii="Corbel" w:hAnsi="Corbel"/>
                        <w:b/>
                        <w:smallCaps/>
                        <w:sz w:val="32"/>
                        <w:szCs w:val="32"/>
                      </w:rPr>
                      <w:t xml:space="preserve">Report </w:t>
                    </w:r>
                  </w:p>
                </w:txbxContent>
              </v:textbox>
            </v:shape>
            <v:shape id="Text Box 4" o:spid="_x0000_s1028" type="#_x0000_t202" style="position:absolute;left:5145;top:7830;width:253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E4F2B" w:rsidRPr="00F75DB0" w:rsidRDefault="00DE4F2B" w:rsidP="00F728A1">
                    <w:pPr>
                      <w:spacing w:after="0" w:line="240" w:lineRule="auto"/>
                      <w:jc w:val="both"/>
                      <w:rPr>
                        <w:color w:val="FFFFFF"/>
                        <w:sz w:val="32"/>
                        <w:szCs w:val="32"/>
                      </w:rPr>
                    </w:pPr>
                    <w:r>
                      <w:rPr>
                        <w:smallCaps/>
                        <w:color w:val="FFFFFF"/>
                        <w:sz w:val="32"/>
                        <w:szCs w:val="32"/>
                      </w:rPr>
                      <w:t>January</w:t>
                    </w:r>
                    <w:r w:rsidRPr="00F75DB0">
                      <w:rPr>
                        <w:smallCaps/>
                        <w:color w:val="FFFFFF"/>
                        <w:sz w:val="32"/>
                        <w:szCs w:val="32"/>
                      </w:rPr>
                      <w:t xml:space="preserve"> 201</w:t>
                    </w:r>
                    <w:r w:rsidR="00217C1B">
                      <w:rPr>
                        <w:smallCaps/>
                        <w:color w:val="FFFFFF"/>
                        <w:sz w:val="32"/>
                        <w:szCs w:val="32"/>
                      </w:rPr>
                      <w:t>6</w:t>
                    </w:r>
                  </w:p>
                </w:txbxContent>
              </v:textbox>
            </v:shape>
            <v:shape id="Text Box 5" o:spid="_x0000_s1029" type="#_x0000_t202" style="position:absolute;left:2445;top:8940;width:8973;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DE4F2B" w:rsidRPr="00F75DB0" w:rsidRDefault="00DE4F2B" w:rsidP="00F728A1">
                    <w:pPr>
                      <w:spacing w:after="0" w:line="240" w:lineRule="auto"/>
                      <w:rPr>
                        <w:rFonts w:ascii="Corbel" w:hAnsi="Corbel"/>
                        <w:color w:val="FFFFFF"/>
                        <w:sz w:val="40"/>
                        <w:szCs w:val="40"/>
                      </w:rPr>
                    </w:pPr>
                    <w:r w:rsidRPr="00F75DB0">
                      <w:rPr>
                        <w:rFonts w:ascii="Corbel" w:hAnsi="Corbel"/>
                        <w:color w:val="FFFFFF"/>
                        <w:sz w:val="40"/>
                        <w:szCs w:val="40"/>
                      </w:rPr>
                      <w:t>Water Entitlement Market Prices</w:t>
                    </w:r>
                  </w:p>
                  <w:p w:rsidR="00DE4F2B" w:rsidRPr="00F75DB0" w:rsidRDefault="00DE4F2B" w:rsidP="00F728A1">
                    <w:pPr>
                      <w:spacing w:after="0" w:line="240" w:lineRule="auto"/>
                      <w:rPr>
                        <w:rFonts w:ascii="Corbel" w:hAnsi="Corbel"/>
                        <w:color w:val="FFFFFF"/>
                        <w:sz w:val="40"/>
                        <w:szCs w:val="40"/>
                      </w:rPr>
                    </w:pPr>
                    <w:r w:rsidRPr="00F75DB0">
                      <w:rPr>
                        <w:rFonts w:ascii="Corbel" w:hAnsi="Corbel"/>
                        <w:color w:val="FFFFFF"/>
                        <w:sz w:val="40"/>
                        <w:szCs w:val="40"/>
                      </w:rPr>
                      <w:t>Murray-Darling Basin</w:t>
                    </w:r>
                  </w:p>
                  <w:p w:rsidR="00DE4F2B" w:rsidRPr="00F75DB0" w:rsidRDefault="00DE4F2B" w:rsidP="00D57871">
                    <w:pPr>
                      <w:spacing w:after="0" w:line="240" w:lineRule="auto"/>
                      <w:rPr>
                        <w:rFonts w:ascii="Corbel" w:hAnsi="Corbel"/>
                        <w:color w:val="FFFFFF"/>
                        <w:sz w:val="40"/>
                        <w:szCs w:val="40"/>
                      </w:rPr>
                    </w:pPr>
                    <w:r w:rsidRPr="00F75DB0">
                      <w:rPr>
                        <w:rFonts w:ascii="Corbel" w:hAnsi="Corbel"/>
                        <w:color w:val="FFFFFF"/>
                        <w:sz w:val="40"/>
                        <w:szCs w:val="40"/>
                      </w:rPr>
                      <w:t>(</w:t>
                    </w:r>
                    <w:r>
                      <w:rPr>
                        <w:rFonts w:ascii="Corbel" w:hAnsi="Corbel"/>
                        <w:color w:val="FFFFFF"/>
                        <w:sz w:val="40"/>
                        <w:szCs w:val="40"/>
                      </w:rPr>
                      <w:t>December</w:t>
                    </w:r>
                    <w:r w:rsidRPr="00F75DB0">
                      <w:rPr>
                        <w:rFonts w:ascii="Corbel" w:hAnsi="Corbel"/>
                        <w:color w:val="FFFFFF"/>
                        <w:sz w:val="40"/>
                        <w:szCs w:val="40"/>
                      </w:rPr>
                      <w:t xml:space="preserve"> Quarter 2015)</w:t>
                    </w:r>
                  </w:p>
                  <w:p w:rsidR="00DE4F2B" w:rsidRPr="00F75DB0" w:rsidRDefault="00DE4F2B" w:rsidP="00F728A1">
                    <w:pPr>
                      <w:spacing w:after="0" w:line="240" w:lineRule="auto"/>
                      <w:rPr>
                        <w:rFonts w:ascii="Corbel" w:hAnsi="Corbel"/>
                        <w:color w:val="FFFFFF"/>
                        <w:sz w:val="40"/>
                        <w:szCs w:val="40"/>
                      </w:rPr>
                    </w:pPr>
                  </w:p>
                </w:txbxContent>
              </v:textbox>
            </v:shape>
            <v:shape id="Text Box 6" o:spid="_x0000_s1030" type="#_x0000_t202" style="position:absolute;left:2445;top:11115;width:8063;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DE4F2B" w:rsidRDefault="00DE4F2B" w:rsidP="00F728A1">
                    <w:pPr>
                      <w:spacing w:after="0" w:line="240" w:lineRule="auto"/>
                      <w:rPr>
                        <w:rFonts w:ascii="Corbel" w:hAnsi="Corbel"/>
                        <w:color w:val="8EBDD8"/>
                        <w:sz w:val="36"/>
                        <w:szCs w:val="36"/>
                      </w:rPr>
                    </w:pPr>
                    <w:r>
                      <w:rPr>
                        <w:rFonts w:ascii="Corbel" w:hAnsi="Corbel"/>
                        <w:color w:val="8EBDD8"/>
                        <w:sz w:val="36"/>
                        <w:szCs w:val="36"/>
                      </w:rPr>
                      <w:t>Report</w:t>
                    </w:r>
                    <w:r w:rsidRPr="00E51C1E">
                      <w:rPr>
                        <w:rFonts w:ascii="Corbel" w:hAnsi="Corbel"/>
                        <w:color w:val="8EBDD8"/>
                        <w:sz w:val="36"/>
                        <w:szCs w:val="36"/>
                      </w:rPr>
                      <w:t xml:space="preserve"> prepared for </w:t>
                    </w:r>
                    <w:r>
                      <w:rPr>
                        <w:rFonts w:ascii="Corbel" w:hAnsi="Corbel"/>
                        <w:color w:val="8EBDD8"/>
                        <w:sz w:val="36"/>
                        <w:szCs w:val="36"/>
                      </w:rPr>
                      <w:t>Australian Government Department of Agriculture and Water Resources</w:t>
                    </w:r>
                  </w:p>
                  <w:p w:rsidR="00DE4F2B" w:rsidRPr="00057140" w:rsidRDefault="00DE4F2B" w:rsidP="00A10C49">
                    <w:pPr>
                      <w:rPr>
                        <w:szCs w:val="36"/>
                      </w:rPr>
                    </w:pPr>
                  </w:p>
                </w:txbxContent>
              </v:textbox>
            </v:shape>
          </v:group>
        </w:pict>
      </w:r>
      <w:r w:rsidR="00B6328F">
        <w:rPr>
          <w:noProof/>
          <w:lang w:eastAsia="en-AU"/>
        </w:rPr>
        <w:drawing>
          <wp:anchor distT="0" distB="0" distL="114300" distR="114300" simplePos="0" relativeHeight="251658240" behindDoc="1" locked="0" layoutInCell="1" allowOverlap="1">
            <wp:simplePos x="0" y="0"/>
            <wp:positionH relativeFrom="page">
              <wp:posOffset>0</wp:posOffset>
            </wp:positionH>
            <wp:positionV relativeFrom="page">
              <wp:posOffset>2809875</wp:posOffset>
            </wp:positionV>
            <wp:extent cx="7613650" cy="6572250"/>
            <wp:effectExtent l="0" t="0" r="6350" b="0"/>
            <wp:wrapNone/>
            <wp:docPr id="43" name="Picture 7" descr="WaterTank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Tank_Mai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13650" cy="6572250"/>
                    </a:xfrm>
                    <a:prstGeom prst="rect">
                      <a:avLst/>
                    </a:prstGeom>
                    <a:noFill/>
                    <a:ln>
                      <a:noFill/>
                    </a:ln>
                  </pic:spPr>
                </pic:pic>
              </a:graphicData>
            </a:graphic>
          </wp:anchor>
        </w:drawing>
      </w:r>
      <w:r w:rsidR="00B6328F">
        <w:rPr>
          <w:noProof/>
          <w:lang w:eastAsia="en-AU"/>
        </w:rPr>
        <w:drawing>
          <wp:anchor distT="0" distB="0" distL="114300" distR="114300" simplePos="0" relativeHeight="251656192" behindDoc="1" locked="0" layoutInCell="1" allowOverlap="1">
            <wp:simplePos x="0" y="0"/>
            <wp:positionH relativeFrom="page">
              <wp:posOffset>0</wp:posOffset>
            </wp:positionH>
            <wp:positionV relativeFrom="page">
              <wp:posOffset>2857500</wp:posOffset>
            </wp:positionV>
            <wp:extent cx="7613650" cy="6568440"/>
            <wp:effectExtent l="0" t="0" r="6350" b="3810"/>
            <wp:wrapNone/>
            <wp:docPr id="42" name="Picture 18" descr="WaterTank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terTank_Mai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13650" cy="6568440"/>
                    </a:xfrm>
                    <a:prstGeom prst="rect">
                      <a:avLst/>
                    </a:prstGeom>
                    <a:noFill/>
                    <a:ln>
                      <a:noFill/>
                    </a:ln>
                  </pic:spPr>
                </pic:pic>
              </a:graphicData>
            </a:graphic>
          </wp:anchor>
        </w:drawing>
      </w:r>
      <w:r w:rsidR="00B6328F">
        <w:rPr>
          <w:noProof/>
          <w:lang w:eastAsia="en-AU"/>
        </w:rPr>
        <w:drawing>
          <wp:anchor distT="0" distB="0" distL="114300" distR="114300" simplePos="0" relativeHeight="251657216" behindDoc="0" locked="0" layoutInCell="1" allowOverlap="1">
            <wp:simplePos x="0" y="0"/>
            <wp:positionH relativeFrom="page">
              <wp:posOffset>-47625</wp:posOffset>
            </wp:positionH>
            <wp:positionV relativeFrom="page">
              <wp:posOffset>0</wp:posOffset>
            </wp:positionV>
            <wp:extent cx="7664450" cy="2857500"/>
            <wp:effectExtent l="0" t="0" r="0" b="0"/>
            <wp:wrapNone/>
            <wp:docPr id="41" name="Picture 4" descr="WaterDrops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Drops_Top.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64450" cy="2857500"/>
                    </a:xfrm>
                    <a:prstGeom prst="rect">
                      <a:avLst/>
                    </a:prstGeom>
                    <a:noFill/>
                    <a:ln>
                      <a:noFill/>
                    </a:ln>
                  </pic:spPr>
                </pic:pic>
              </a:graphicData>
            </a:graphic>
          </wp:anchor>
        </w:drawing>
      </w:r>
      <w:r w:rsidR="00A10C49" w:rsidRPr="007972B0">
        <w:br w:type="page"/>
      </w:r>
    </w:p>
    <w:p w:rsidR="00A10C49" w:rsidRDefault="00A10C49" w:rsidP="00A10C49">
      <w:pPr>
        <w:spacing w:after="0" w:line="240" w:lineRule="auto"/>
        <w:rPr>
          <w:rFonts w:ascii="Corbel" w:hAnsi="Corbel" w:cs="Arial"/>
          <w:b/>
          <w:sz w:val="16"/>
          <w:szCs w:val="16"/>
        </w:rPr>
        <w:sectPr w:rsidR="00A10C49" w:rsidSect="000D4F20">
          <w:headerReference w:type="even" r:id="rId11"/>
          <w:headerReference w:type="default" r:id="rId12"/>
          <w:footerReference w:type="even" r:id="rId13"/>
          <w:footerReference w:type="default" r:id="rId14"/>
          <w:headerReference w:type="first" r:id="rId15"/>
          <w:footerReference w:type="first" r:id="rId16"/>
          <w:pgSz w:w="11906" w:h="16838" w:code="9"/>
          <w:pgMar w:top="1701" w:right="1134" w:bottom="1021" w:left="2268" w:header="680" w:footer="113" w:gutter="0"/>
          <w:cols w:space="708"/>
          <w:docGrid w:linePitch="360"/>
        </w:sectPr>
      </w:pPr>
      <w:bookmarkStart w:id="0" w:name="_GoBack"/>
      <w:bookmarkEnd w:id="0"/>
    </w:p>
    <w:p w:rsidR="00F80890" w:rsidRPr="005E3447" w:rsidRDefault="00F80890" w:rsidP="007972B0">
      <w:pPr>
        <w:spacing w:after="0" w:line="240" w:lineRule="auto"/>
        <w:rPr>
          <w:rFonts w:ascii="Corbel" w:hAnsi="Corbel" w:cs="Arial"/>
          <w:b/>
          <w:sz w:val="16"/>
          <w:szCs w:val="16"/>
        </w:rPr>
      </w:pPr>
      <w:r w:rsidRPr="005E3447">
        <w:rPr>
          <w:rFonts w:ascii="Corbel" w:hAnsi="Corbel" w:cs="Arial"/>
          <w:b/>
          <w:sz w:val="16"/>
          <w:szCs w:val="16"/>
        </w:rPr>
        <w:lastRenderedPageBreak/>
        <w:t>Marsden Jacob Associates</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Financial &amp; Economic Consultants</w:t>
      </w: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ABN 66 663 324 657</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ACN 072 233 204</w:t>
      </w: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sz w:val="16"/>
          <w:szCs w:val="16"/>
          <w:lang w:val="fr-FR"/>
        </w:rPr>
      </w:pPr>
      <w:r w:rsidRPr="005E3447">
        <w:rPr>
          <w:rFonts w:ascii="Corbel" w:hAnsi="Corbel"/>
          <w:sz w:val="16"/>
          <w:szCs w:val="16"/>
          <w:lang w:val="fr-FR"/>
        </w:rPr>
        <w:t>Internet: http://www.marsdenjacob.com.au</w:t>
      </w:r>
    </w:p>
    <w:p w:rsidR="00F80890" w:rsidRPr="005E3447" w:rsidRDefault="00F80890" w:rsidP="007972B0">
      <w:pPr>
        <w:spacing w:after="0" w:line="240" w:lineRule="auto"/>
        <w:rPr>
          <w:rFonts w:ascii="Corbel" w:hAnsi="Corbel"/>
          <w:sz w:val="16"/>
          <w:szCs w:val="16"/>
          <w:lang w:val="pt-BR"/>
        </w:rPr>
      </w:pPr>
      <w:r w:rsidRPr="005E3447">
        <w:rPr>
          <w:rFonts w:ascii="Corbel" w:hAnsi="Corbel"/>
          <w:sz w:val="16"/>
          <w:szCs w:val="16"/>
          <w:lang w:val="pt-BR"/>
        </w:rPr>
        <w:t xml:space="preserve">E-mail: economists@marsdenjacob.com.au </w:t>
      </w:r>
    </w:p>
    <w:p w:rsidR="00F80890" w:rsidRPr="005E3447" w:rsidRDefault="00F80890" w:rsidP="007972B0">
      <w:pPr>
        <w:spacing w:after="0" w:line="240" w:lineRule="auto"/>
        <w:rPr>
          <w:rFonts w:ascii="Corbel" w:hAnsi="Corbel" w:cs="Arial"/>
          <w:sz w:val="16"/>
          <w:szCs w:val="16"/>
          <w:lang w:val="pt-BR"/>
        </w:rPr>
      </w:pP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Melbourne office:</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Postal address: Level 3, 683 Burke Road, Camberwell</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Victoria 3124 AUSTRALIA</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 xml:space="preserve">Telephone: </w:t>
      </w:r>
      <w:r w:rsidR="002C25EC">
        <w:rPr>
          <w:rFonts w:ascii="Corbel" w:hAnsi="Corbel" w:cs="Arial"/>
          <w:sz w:val="16"/>
          <w:szCs w:val="16"/>
        </w:rPr>
        <w:t xml:space="preserve">03 </w:t>
      </w:r>
      <w:r w:rsidRPr="005E3447">
        <w:rPr>
          <w:rFonts w:ascii="Corbel" w:hAnsi="Corbel" w:cs="Arial"/>
          <w:sz w:val="16"/>
          <w:szCs w:val="16"/>
        </w:rPr>
        <w:t>9882 1600</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 xml:space="preserve">Facsimile: </w:t>
      </w:r>
      <w:r w:rsidR="002C25EC">
        <w:rPr>
          <w:rFonts w:ascii="Corbel" w:hAnsi="Corbel" w:cs="Arial"/>
          <w:sz w:val="16"/>
          <w:szCs w:val="16"/>
        </w:rPr>
        <w:t>03</w:t>
      </w:r>
      <w:r w:rsidRPr="005E3447">
        <w:rPr>
          <w:rFonts w:ascii="Corbel" w:hAnsi="Corbel" w:cs="Arial"/>
          <w:sz w:val="16"/>
          <w:szCs w:val="16"/>
        </w:rPr>
        <w:t xml:space="preserve"> 9882 1300</w:t>
      </w: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Perth office:</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 xml:space="preserve">Level </w:t>
      </w:r>
      <w:r>
        <w:rPr>
          <w:rFonts w:ascii="Corbel" w:hAnsi="Corbel" w:cs="Arial"/>
          <w:sz w:val="16"/>
          <w:szCs w:val="16"/>
        </w:rPr>
        <w:t>1</w:t>
      </w:r>
      <w:r w:rsidRPr="005E3447">
        <w:rPr>
          <w:rFonts w:ascii="Corbel" w:hAnsi="Corbel" w:cs="Arial"/>
          <w:sz w:val="16"/>
          <w:szCs w:val="16"/>
        </w:rPr>
        <w:t xml:space="preserve">, </w:t>
      </w:r>
      <w:r>
        <w:rPr>
          <w:rFonts w:ascii="Corbel" w:hAnsi="Corbel" w:cs="Arial"/>
          <w:sz w:val="16"/>
          <w:szCs w:val="16"/>
        </w:rPr>
        <w:t>220 St Georges Terrace</w:t>
      </w:r>
      <w:r w:rsidRPr="005E3447">
        <w:rPr>
          <w:rFonts w:ascii="Corbel" w:hAnsi="Corbel" w:cs="Arial"/>
          <w:sz w:val="16"/>
          <w:szCs w:val="16"/>
        </w:rPr>
        <w:t xml:space="preserve">, Perth </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Western Australia, 6000 AUSTRALIA</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 xml:space="preserve">Telephone: </w:t>
      </w:r>
      <w:r w:rsidR="002C25EC">
        <w:rPr>
          <w:rFonts w:ascii="Corbel" w:hAnsi="Corbel" w:cs="Arial"/>
          <w:sz w:val="16"/>
          <w:szCs w:val="16"/>
        </w:rPr>
        <w:t>0</w:t>
      </w:r>
      <w:r w:rsidRPr="005E3447">
        <w:rPr>
          <w:rFonts w:ascii="Corbel" w:hAnsi="Corbel" w:cs="Arial"/>
          <w:sz w:val="16"/>
          <w:szCs w:val="16"/>
        </w:rPr>
        <w:t>8 9324 1785</w:t>
      </w:r>
    </w:p>
    <w:p w:rsidR="00F80890" w:rsidRDefault="00F80890" w:rsidP="007972B0">
      <w:pPr>
        <w:spacing w:after="0" w:line="240" w:lineRule="auto"/>
        <w:rPr>
          <w:rFonts w:ascii="Corbel" w:hAnsi="Corbel" w:cs="Arial"/>
          <w:sz w:val="16"/>
          <w:szCs w:val="16"/>
        </w:rPr>
      </w:pPr>
      <w:r w:rsidRPr="005E3447">
        <w:rPr>
          <w:rFonts w:ascii="Corbel" w:hAnsi="Corbel" w:cs="Arial"/>
          <w:sz w:val="16"/>
          <w:szCs w:val="16"/>
        </w:rPr>
        <w:t xml:space="preserve">Facsimile: </w:t>
      </w:r>
      <w:r w:rsidR="002C25EC">
        <w:rPr>
          <w:rFonts w:ascii="Corbel" w:hAnsi="Corbel" w:cs="Arial"/>
          <w:sz w:val="16"/>
          <w:szCs w:val="16"/>
        </w:rPr>
        <w:t>0</w:t>
      </w:r>
      <w:r w:rsidRPr="005E3447">
        <w:rPr>
          <w:rFonts w:ascii="Corbel" w:hAnsi="Corbel" w:cs="Arial"/>
          <w:sz w:val="16"/>
          <w:szCs w:val="16"/>
        </w:rPr>
        <w:t>8 932</w:t>
      </w:r>
      <w:r>
        <w:rPr>
          <w:rFonts w:ascii="Corbel" w:hAnsi="Corbel" w:cs="Arial"/>
          <w:sz w:val="16"/>
          <w:szCs w:val="16"/>
        </w:rPr>
        <w:t>2</w:t>
      </w:r>
      <w:r w:rsidRPr="005E3447">
        <w:rPr>
          <w:rFonts w:ascii="Corbel" w:hAnsi="Corbel" w:cs="Arial"/>
          <w:sz w:val="16"/>
          <w:szCs w:val="16"/>
        </w:rPr>
        <w:t xml:space="preserve"> </w:t>
      </w:r>
      <w:r>
        <w:rPr>
          <w:rFonts w:ascii="Corbel" w:hAnsi="Corbel" w:cs="Arial"/>
          <w:sz w:val="16"/>
          <w:szCs w:val="16"/>
        </w:rPr>
        <w:t>7936</w:t>
      </w:r>
    </w:p>
    <w:p w:rsidR="00F80890" w:rsidRDefault="00F80890" w:rsidP="007972B0">
      <w:pPr>
        <w:spacing w:after="0" w:line="240" w:lineRule="auto"/>
        <w:rPr>
          <w:rFonts w:ascii="Corbel" w:hAnsi="Corbel" w:cs="Arial"/>
          <w:sz w:val="16"/>
          <w:szCs w:val="16"/>
        </w:rPr>
      </w:pPr>
    </w:p>
    <w:p w:rsidR="00F80890" w:rsidRDefault="00F80890" w:rsidP="007972B0">
      <w:pPr>
        <w:spacing w:after="0" w:line="240" w:lineRule="auto"/>
        <w:rPr>
          <w:rFonts w:ascii="Corbel" w:hAnsi="Corbel" w:cs="Arial"/>
          <w:sz w:val="16"/>
          <w:szCs w:val="16"/>
        </w:rPr>
      </w:pPr>
      <w:r>
        <w:rPr>
          <w:rFonts w:ascii="Corbel" w:hAnsi="Corbel" w:cs="Arial"/>
          <w:sz w:val="16"/>
          <w:szCs w:val="16"/>
        </w:rPr>
        <w:t>Sydney office:</w:t>
      </w:r>
    </w:p>
    <w:p w:rsidR="00F80890" w:rsidRDefault="00F80890" w:rsidP="007972B0">
      <w:pPr>
        <w:spacing w:after="0" w:line="240" w:lineRule="auto"/>
        <w:rPr>
          <w:rFonts w:ascii="Corbel" w:hAnsi="Corbel" w:cs="Arial"/>
          <w:sz w:val="16"/>
          <w:szCs w:val="16"/>
        </w:rPr>
      </w:pPr>
      <w:r>
        <w:rPr>
          <w:rFonts w:ascii="Corbel" w:hAnsi="Corbel" w:cs="Arial"/>
          <w:sz w:val="16"/>
          <w:szCs w:val="16"/>
        </w:rPr>
        <w:t>Rod Carr</w:t>
      </w:r>
      <w:r w:rsidR="002C25EC">
        <w:rPr>
          <w:rFonts w:ascii="Corbel" w:hAnsi="Corbel" w:cs="Arial"/>
          <w:sz w:val="16"/>
          <w:szCs w:val="16"/>
        </w:rPr>
        <w:t xml:space="preserve"> 0418 765 393</w:t>
      </w:r>
    </w:p>
    <w:p w:rsidR="002C25EC" w:rsidRDefault="002C25EC" w:rsidP="007972B0">
      <w:pPr>
        <w:spacing w:after="0" w:line="240" w:lineRule="auto"/>
        <w:rPr>
          <w:rFonts w:ascii="Corbel" w:hAnsi="Corbel" w:cs="Arial"/>
          <w:sz w:val="16"/>
          <w:szCs w:val="16"/>
        </w:rPr>
      </w:pPr>
      <w:r>
        <w:rPr>
          <w:rFonts w:ascii="Corbel" w:hAnsi="Corbel" w:cs="Arial"/>
          <w:sz w:val="16"/>
          <w:szCs w:val="16"/>
        </w:rPr>
        <w:t xml:space="preserve">Phillip Pickering 0434 884 220 </w:t>
      </w: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 xml:space="preserve">Author:  </w:t>
      </w:r>
      <w:r w:rsidRPr="005E3447">
        <w:rPr>
          <w:rFonts w:ascii="Corbel" w:hAnsi="Corbel" w:cs="Arial"/>
          <w:sz w:val="16"/>
          <w:szCs w:val="16"/>
        </w:rPr>
        <w:tab/>
      </w:r>
      <w:r w:rsidR="00335904">
        <w:rPr>
          <w:rFonts w:ascii="Corbel" w:hAnsi="Corbel" w:cs="Arial"/>
          <w:sz w:val="16"/>
          <w:szCs w:val="16"/>
        </w:rPr>
        <w:t>Rod Carr</w:t>
      </w:r>
    </w:p>
    <w:p w:rsidR="00C858F4" w:rsidRDefault="00F80890" w:rsidP="007972B0">
      <w:pPr>
        <w:spacing w:after="0" w:line="240" w:lineRule="auto"/>
        <w:rPr>
          <w:rFonts w:ascii="Corbel" w:hAnsi="Corbel" w:cs="Arial"/>
          <w:sz w:val="16"/>
          <w:szCs w:val="16"/>
        </w:rPr>
      </w:pPr>
      <w:r w:rsidRPr="005E3447">
        <w:rPr>
          <w:rFonts w:ascii="Corbel" w:hAnsi="Corbel" w:cs="Arial"/>
          <w:sz w:val="16"/>
          <w:szCs w:val="16"/>
        </w:rPr>
        <w:tab/>
      </w:r>
      <w:r w:rsidR="00335904">
        <w:rPr>
          <w:rFonts w:ascii="Corbel" w:hAnsi="Corbel" w:cs="Arial"/>
          <w:sz w:val="16"/>
          <w:szCs w:val="16"/>
        </w:rPr>
        <w:t>Nadja Arold</w:t>
      </w:r>
    </w:p>
    <w:p w:rsidR="00F80890" w:rsidRPr="005E3447" w:rsidRDefault="00C858F4" w:rsidP="007972B0">
      <w:pPr>
        <w:spacing w:after="0" w:line="240" w:lineRule="auto"/>
        <w:rPr>
          <w:rFonts w:ascii="Corbel" w:hAnsi="Corbel" w:cs="Arial"/>
          <w:sz w:val="16"/>
          <w:szCs w:val="16"/>
        </w:rPr>
      </w:pPr>
      <w:r>
        <w:rPr>
          <w:rFonts w:ascii="Corbel" w:hAnsi="Corbel" w:cs="Arial"/>
          <w:sz w:val="16"/>
          <w:szCs w:val="16"/>
        </w:rPr>
        <w:tab/>
      </w:r>
      <w:r w:rsidR="00335904">
        <w:rPr>
          <w:rFonts w:ascii="Corbel" w:hAnsi="Corbel" w:cs="Arial"/>
          <w:sz w:val="16"/>
          <w:szCs w:val="16"/>
        </w:rPr>
        <w:t xml:space="preserve">Jeremy </w:t>
      </w:r>
      <w:proofErr w:type="spellStart"/>
      <w:r w:rsidR="00335904">
        <w:rPr>
          <w:rFonts w:ascii="Corbel" w:hAnsi="Corbel" w:cs="Arial"/>
          <w:sz w:val="16"/>
          <w:szCs w:val="16"/>
        </w:rPr>
        <w:t>Cheesman</w:t>
      </w:r>
      <w:proofErr w:type="spellEnd"/>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ab/>
      </w: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sz w:val="16"/>
          <w:szCs w:val="16"/>
        </w:rPr>
      </w:pPr>
    </w:p>
    <w:p w:rsidR="00F80890" w:rsidRPr="005E3447" w:rsidRDefault="00F80890" w:rsidP="007972B0">
      <w:pPr>
        <w:spacing w:after="0" w:line="240" w:lineRule="auto"/>
        <w:rPr>
          <w:rFonts w:ascii="Corbel" w:hAnsi="Corbel"/>
          <w:sz w:val="16"/>
          <w:szCs w:val="16"/>
        </w:rPr>
      </w:pPr>
    </w:p>
    <w:tbl>
      <w:tblPr>
        <w:tblW w:w="84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tblPr>
      <w:tblGrid>
        <w:gridCol w:w="8472"/>
      </w:tblGrid>
      <w:tr w:rsidR="00F80890" w:rsidRPr="00F75DB0" w:rsidTr="00854171">
        <w:tc>
          <w:tcPr>
            <w:tcW w:w="8472" w:type="dxa"/>
          </w:tcPr>
          <w:p w:rsidR="00F80890" w:rsidRPr="00F75DB0" w:rsidRDefault="00F80890" w:rsidP="007972B0">
            <w:pPr>
              <w:spacing w:after="0" w:line="240" w:lineRule="auto"/>
              <w:rPr>
                <w:rFonts w:ascii="Corbel" w:hAnsi="Corbel"/>
                <w:sz w:val="16"/>
                <w:szCs w:val="16"/>
              </w:rPr>
            </w:pPr>
            <w:r w:rsidRPr="00F75DB0">
              <w:rPr>
                <w:rFonts w:ascii="Corbel" w:hAnsi="Corbel" w:cs="Arial"/>
                <w:sz w:val="16"/>
                <w:szCs w:val="16"/>
              </w:rPr>
              <w:t>This report has been prepared in accordance with the scope of services described in the contract or agreement between Marsden Jacob Associates Pty Ltd ACN 072 233 204 (MJA) and the Client. Any findings, conclusions or recommendations only apply to the aforementioned circumstances and no greater reliance should be assumed or drawn by the Client. Furthermore, the report has been prepared solely for use by the Client and Marsden Jacob Associates accepts no responsibility for its use by other parties.</w:t>
            </w:r>
          </w:p>
        </w:tc>
      </w:tr>
    </w:tbl>
    <w:p w:rsidR="00F80890" w:rsidRPr="009559F1" w:rsidRDefault="00F80890" w:rsidP="007972B0">
      <w:pPr>
        <w:spacing w:after="0" w:line="240" w:lineRule="auto"/>
        <w:rPr>
          <w:rFonts w:ascii="Constantia" w:hAnsi="Constantia"/>
          <w:sz w:val="20"/>
        </w:rPr>
      </w:pPr>
    </w:p>
    <w:p w:rsidR="00F80890" w:rsidRPr="005E3447" w:rsidRDefault="00F164FF" w:rsidP="00F164FF">
      <w:pPr>
        <w:spacing w:after="0" w:line="240" w:lineRule="auto"/>
        <w:rPr>
          <w:rFonts w:ascii="Corbel" w:hAnsi="Corbel" w:cs="Arial"/>
          <w:sz w:val="16"/>
          <w:szCs w:val="16"/>
        </w:rPr>
      </w:pPr>
      <w:r w:rsidRPr="00F164FF">
        <w:rPr>
          <w:rFonts w:ascii="Corbel" w:hAnsi="Corbel" w:cs="Arial"/>
          <w:sz w:val="16"/>
          <w:szCs w:val="16"/>
        </w:rPr>
        <w:t>C</w:t>
      </w:r>
      <w:r w:rsidR="00F80890" w:rsidRPr="005E3447">
        <w:rPr>
          <w:rFonts w:ascii="Corbel" w:hAnsi="Corbel" w:cs="Arial"/>
          <w:sz w:val="16"/>
          <w:szCs w:val="16"/>
        </w:rPr>
        <w:t>opyright © Marsden Jacob Associates Pty Ltd 201</w:t>
      </w:r>
      <w:r w:rsidR="004F1321">
        <w:rPr>
          <w:rFonts w:ascii="Corbel" w:hAnsi="Corbel" w:cs="Arial"/>
          <w:sz w:val="16"/>
          <w:szCs w:val="16"/>
        </w:rPr>
        <w:t>6</w:t>
      </w:r>
    </w:p>
    <w:p w:rsidR="000A56D6" w:rsidRDefault="000A56D6" w:rsidP="00F80890">
      <w:pPr>
        <w:rPr>
          <w:rFonts w:cs="Arial"/>
          <w:b/>
          <w:sz w:val="18"/>
        </w:rPr>
      </w:pPr>
    </w:p>
    <w:p w:rsidR="000A56D6" w:rsidRPr="000A56D6" w:rsidRDefault="000A56D6" w:rsidP="000A56D6">
      <w:pPr>
        <w:rPr>
          <w:rFonts w:cs="Arial"/>
          <w:sz w:val="18"/>
        </w:rPr>
      </w:pPr>
    </w:p>
    <w:p w:rsidR="000A56D6" w:rsidRPr="000A56D6" w:rsidRDefault="000A56D6" w:rsidP="000A56D6">
      <w:pPr>
        <w:rPr>
          <w:rFonts w:cs="Arial"/>
          <w:sz w:val="18"/>
        </w:rPr>
      </w:pPr>
    </w:p>
    <w:p w:rsidR="000A56D6" w:rsidRPr="000A56D6" w:rsidRDefault="000A56D6" w:rsidP="000A56D6">
      <w:pPr>
        <w:rPr>
          <w:rFonts w:cs="Arial"/>
          <w:sz w:val="18"/>
        </w:rPr>
      </w:pPr>
    </w:p>
    <w:p w:rsidR="000A56D6" w:rsidRPr="000A56D6" w:rsidRDefault="000A56D6" w:rsidP="000A56D6">
      <w:pPr>
        <w:rPr>
          <w:rFonts w:cs="Arial"/>
          <w:sz w:val="18"/>
        </w:rPr>
      </w:pPr>
    </w:p>
    <w:p w:rsidR="000A56D6" w:rsidRPr="000A56D6" w:rsidRDefault="000A56D6" w:rsidP="000A56D6">
      <w:pPr>
        <w:rPr>
          <w:rFonts w:cs="Arial"/>
          <w:sz w:val="18"/>
        </w:rPr>
      </w:pPr>
    </w:p>
    <w:p w:rsidR="000A56D6" w:rsidRPr="000A56D6" w:rsidRDefault="000A56D6" w:rsidP="000A56D6">
      <w:pPr>
        <w:tabs>
          <w:tab w:val="left" w:pos="1170"/>
        </w:tabs>
        <w:rPr>
          <w:rFonts w:cs="Arial"/>
          <w:sz w:val="18"/>
        </w:rPr>
      </w:pPr>
      <w:r>
        <w:rPr>
          <w:rFonts w:cs="Arial"/>
          <w:sz w:val="18"/>
        </w:rPr>
        <w:tab/>
      </w:r>
    </w:p>
    <w:p w:rsidR="000A56D6" w:rsidRDefault="000A56D6" w:rsidP="000A56D6">
      <w:pPr>
        <w:rPr>
          <w:rFonts w:cs="Arial"/>
          <w:sz w:val="18"/>
        </w:rPr>
      </w:pPr>
    </w:p>
    <w:p w:rsidR="007972B0" w:rsidRPr="000A56D6" w:rsidRDefault="007972B0" w:rsidP="000A56D6">
      <w:pPr>
        <w:rPr>
          <w:rFonts w:cs="Arial"/>
          <w:sz w:val="18"/>
        </w:rPr>
        <w:sectPr w:rsidR="007972B0" w:rsidRPr="000A56D6" w:rsidSect="0002454B">
          <w:pgSz w:w="11906" w:h="16838" w:code="9"/>
          <w:pgMar w:top="1701" w:right="1134" w:bottom="1021" w:left="2268" w:header="680" w:footer="113" w:gutter="0"/>
          <w:cols w:space="708"/>
          <w:docGrid w:linePitch="360"/>
        </w:sectPr>
      </w:pPr>
    </w:p>
    <w:p w:rsidR="00426980" w:rsidRDefault="00426980" w:rsidP="000D4F20"/>
    <w:p w:rsidR="00F80890" w:rsidRPr="00CD4E76" w:rsidRDefault="00F80890" w:rsidP="00426980">
      <w:pPr>
        <w:spacing w:after="120" w:line="240" w:lineRule="auto"/>
        <w:rPr>
          <w:rFonts w:ascii="Arial" w:hAnsi="Arial" w:cs="Arial"/>
          <w:b/>
          <w:smallCaps/>
          <w:sz w:val="18"/>
        </w:rPr>
      </w:pPr>
      <w:r w:rsidRPr="00CD4E76">
        <w:rPr>
          <w:rFonts w:ascii="Corbel" w:hAnsi="Corbel" w:cs="Arial"/>
          <w:b/>
          <w:smallCaps/>
          <w:color w:val="0093D0"/>
          <w:sz w:val="28"/>
          <w:szCs w:val="28"/>
        </w:rPr>
        <w:t>Table of Contents</w:t>
      </w:r>
    </w:p>
    <w:p w:rsidR="00F80890" w:rsidRPr="000E460E" w:rsidRDefault="00F80890" w:rsidP="00F80890">
      <w:pPr>
        <w:ind w:right="283"/>
        <w:jc w:val="right"/>
        <w:rPr>
          <w:rFonts w:ascii="Corbel" w:hAnsi="Corbel" w:cs="Arial"/>
          <w:sz w:val="18"/>
        </w:rPr>
      </w:pPr>
      <w:r w:rsidRPr="000E460E">
        <w:rPr>
          <w:rFonts w:ascii="Corbel" w:hAnsi="Corbel" w:cs="Arial"/>
          <w:sz w:val="18"/>
        </w:rPr>
        <w:t xml:space="preserve">Page </w:t>
      </w:r>
    </w:p>
    <w:p w:rsidR="00E00DC7" w:rsidRDefault="00C23339">
      <w:pPr>
        <w:pStyle w:val="TOC1"/>
        <w:rPr>
          <w:rFonts w:asciiTheme="minorHAnsi" w:eastAsiaTheme="minorEastAsia" w:hAnsiTheme="minorHAnsi" w:cstheme="minorBidi"/>
          <w:b w:val="0"/>
          <w:sz w:val="22"/>
          <w:szCs w:val="22"/>
          <w:lang w:eastAsia="en-AU"/>
        </w:rPr>
      </w:pPr>
      <w:r>
        <w:fldChar w:fldCharType="begin"/>
      </w:r>
      <w:r w:rsidR="007972B0">
        <w:instrText xml:space="preserve"> TOC \h \z \t "MJA Heading 1,1,MJA Heading 2,2" </w:instrText>
      </w:r>
      <w:r>
        <w:fldChar w:fldCharType="separate"/>
      </w:r>
      <w:hyperlink w:anchor="_Toc441834741" w:history="1">
        <w:r w:rsidR="00E00DC7" w:rsidRPr="00BB2220">
          <w:rPr>
            <w:rStyle w:val="Hyperlink"/>
          </w:rPr>
          <w:t>1.</w:t>
        </w:r>
        <w:r w:rsidR="00E00DC7">
          <w:rPr>
            <w:rFonts w:asciiTheme="minorHAnsi" w:eastAsiaTheme="minorEastAsia" w:hAnsiTheme="minorHAnsi" w:cstheme="minorBidi"/>
            <w:b w:val="0"/>
            <w:sz w:val="22"/>
            <w:szCs w:val="22"/>
            <w:lang w:eastAsia="en-AU"/>
          </w:rPr>
          <w:tab/>
        </w:r>
        <w:r w:rsidR="00E00DC7" w:rsidRPr="00BB2220">
          <w:rPr>
            <w:rStyle w:val="Hyperlink"/>
          </w:rPr>
          <w:t>Introduction</w:t>
        </w:r>
        <w:r w:rsidR="00E00DC7">
          <w:rPr>
            <w:webHidden/>
          </w:rPr>
          <w:tab/>
        </w:r>
        <w:r>
          <w:rPr>
            <w:webHidden/>
          </w:rPr>
          <w:fldChar w:fldCharType="begin"/>
        </w:r>
        <w:r w:rsidR="00E00DC7">
          <w:rPr>
            <w:webHidden/>
          </w:rPr>
          <w:instrText xml:space="preserve"> PAGEREF _Toc441834741 \h </w:instrText>
        </w:r>
        <w:r>
          <w:rPr>
            <w:webHidden/>
          </w:rPr>
        </w:r>
        <w:r>
          <w:rPr>
            <w:webHidden/>
          </w:rPr>
          <w:fldChar w:fldCharType="separate"/>
        </w:r>
        <w:r w:rsidR="00E00DC7">
          <w:rPr>
            <w:webHidden/>
          </w:rPr>
          <w:t>1</w:t>
        </w:r>
        <w:r>
          <w:rPr>
            <w:webHidden/>
          </w:rPr>
          <w:fldChar w:fldCharType="end"/>
        </w:r>
      </w:hyperlink>
    </w:p>
    <w:p w:rsidR="00E00DC7" w:rsidRDefault="00C23339">
      <w:pPr>
        <w:pStyle w:val="TOC1"/>
        <w:rPr>
          <w:rFonts w:asciiTheme="minorHAnsi" w:eastAsiaTheme="minorEastAsia" w:hAnsiTheme="minorHAnsi" w:cstheme="minorBidi"/>
          <w:b w:val="0"/>
          <w:sz w:val="22"/>
          <w:szCs w:val="22"/>
          <w:lang w:eastAsia="en-AU"/>
        </w:rPr>
      </w:pPr>
      <w:hyperlink w:anchor="_Toc441834742" w:history="1">
        <w:r w:rsidR="00E00DC7" w:rsidRPr="00BB2220">
          <w:rPr>
            <w:rStyle w:val="Hyperlink"/>
          </w:rPr>
          <w:t>2.</w:t>
        </w:r>
        <w:r w:rsidR="00E00DC7">
          <w:rPr>
            <w:rFonts w:asciiTheme="minorHAnsi" w:eastAsiaTheme="minorEastAsia" w:hAnsiTheme="minorHAnsi" w:cstheme="minorBidi"/>
            <w:b w:val="0"/>
            <w:sz w:val="22"/>
            <w:szCs w:val="22"/>
            <w:lang w:eastAsia="en-AU"/>
          </w:rPr>
          <w:tab/>
        </w:r>
        <w:r w:rsidR="00E00DC7" w:rsidRPr="00BB2220">
          <w:rPr>
            <w:rStyle w:val="Hyperlink"/>
          </w:rPr>
          <w:t>Southern Murray-Darling Basin</w:t>
        </w:r>
        <w:r w:rsidR="00E00DC7">
          <w:rPr>
            <w:webHidden/>
          </w:rPr>
          <w:tab/>
        </w:r>
        <w:r>
          <w:rPr>
            <w:webHidden/>
          </w:rPr>
          <w:fldChar w:fldCharType="begin"/>
        </w:r>
        <w:r w:rsidR="00E00DC7">
          <w:rPr>
            <w:webHidden/>
          </w:rPr>
          <w:instrText xml:space="preserve"> PAGEREF _Toc441834742 \h </w:instrText>
        </w:r>
        <w:r>
          <w:rPr>
            <w:webHidden/>
          </w:rPr>
        </w:r>
        <w:r>
          <w:rPr>
            <w:webHidden/>
          </w:rPr>
          <w:fldChar w:fldCharType="separate"/>
        </w:r>
        <w:r w:rsidR="00E00DC7">
          <w:rPr>
            <w:webHidden/>
          </w:rPr>
          <w:t>4</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43" w:history="1">
        <w:r w:rsidR="00E00DC7" w:rsidRPr="00BB2220">
          <w:rPr>
            <w:rStyle w:val="Hyperlink"/>
          </w:rPr>
          <w:t>2.1</w:t>
        </w:r>
        <w:r w:rsidR="00E00DC7">
          <w:rPr>
            <w:rFonts w:asciiTheme="minorHAnsi" w:eastAsiaTheme="minorEastAsia" w:hAnsiTheme="minorHAnsi" w:cstheme="minorBidi"/>
            <w:sz w:val="22"/>
            <w:szCs w:val="22"/>
            <w:lang w:eastAsia="en-AU"/>
          </w:rPr>
          <w:tab/>
        </w:r>
        <w:r w:rsidR="00E00DC7" w:rsidRPr="00BB2220">
          <w:rPr>
            <w:rStyle w:val="Hyperlink"/>
          </w:rPr>
          <w:t>SA Murray: Class 3a</w:t>
        </w:r>
        <w:r w:rsidR="00E00DC7">
          <w:rPr>
            <w:webHidden/>
          </w:rPr>
          <w:tab/>
        </w:r>
        <w:r>
          <w:rPr>
            <w:webHidden/>
          </w:rPr>
          <w:fldChar w:fldCharType="begin"/>
        </w:r>
        <w:r w:rsidR="00E00DC7">
          <w:rPr>
            <w:webHidden/>
          </w:rPr>
          <w:instrText xml:space="preserve"> PAGEREF _Toc441834743 \h </w:instrText>
        </w:r>
        <w:r>
          <w:rPr>
            <w:webHidden/>
          </w:rPr>
        </w:r>
        <w:r>
          <w:rPr>
            <w:webHidden/>
          </w:rPr>
          <w:fldChar w:fldCharType="separate"/>
        </w:r>
        <w:r w:rsidR="00E00DC7">
          <w:rPr>
            <w:webHidden/>
          </w:rPr>
          <w:t>5</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44" w:history="1">
        <w:r w:rsidR="00E00DC7" w:rsidRPr="00BB2220">
          <w:rPr>
            <w:rStyle w:val="Hyperlink"/>
          </w:rPr>
          <w:t>2.2</w:t>
        </w:r>
        <w:r w:rsidR="00E00DC7">
          <w:rPr>
            <w:rFonts w:asciiTheme="minorHAnsi" w:eastAsiaTheme="minorEastAsia" w:hAnsiTheme="minorHAnsi" w:cstheme="minorBidi"/>
            <w:sz w:val="22"/>
            <w:szCs w:val="22"/>
            <w:lang w:eastAsia="en-AU"/>
          </w:rPr>
          <w:tab/>
        </w:r>
        <w:r w:rsidR="00E00DC7" w:rsidRPr="00BB2220">
          <w:rPr>
            <w:rStyle w:val="Hyperlink"/>
          </w:rPr>
          <w:t>VIC Murray above Barmah Choke: High Reliability</w:t>
        </w:r>
        <w:r w:rsidR="00E00DC7">
          <w:rPr>
            <w:webHidden/>
          </w:rPr>
          <w:tab/>
        </w:r>
        <w:r>
          <w:rPr>
            <w:webHidden/>
          </w:rPr>
          <w:fldChar w:fldCharType="begin"/>
        </w:r>
        <w:r w:rsidR="00E00DC7">
          <w:rPr>
            <w:webHidden/>
          </w:rPr>
          <w:instrText xml:space="preserve"> PAGEREF _Toc441834744 \h </w:instrText>
        </w:r>
        <w:r>
          <w:rPr>
            <w:webHidden/>
          </w:rPr>
        </w:r>
        <w:r>
          <w:rPr>
            <w:webHidden/>
          </w:rPr>
          <w:fldChar w:fldCharType="separate"/>
        </w:r>
        <w:r w:rsidR="00E00DC7">
          <w:rPr>
            <w:webHidden/>
          </w:rPr>
          <w:t>6</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45" w:history="1">
        <w:r w:rsidR="00E00DC7" w:rsidRPr="00BB2220">
          <w:rPr>
            <w:rStyle w:val="Hyperlink"/>
          </w:rPr>
          <w:t>2.3</w:t>
        </w:r>
        <w:r w:rsidR="00E00DC7">
          <w:rPr>
            <w:rFonts w:asciiTheme="minorHAnsi" w:eastAsiaTheme="minorEastAsia" w:hAnsiTheme="minorHAnsi" w:cstheme="minorBidi"/>
            <w:sz w:val="22"/>
            <w:szCs w:val="22"/>
            <w:lang w:eastAsia="en-AU"/>
          </w:rPr>
          <w:tab/>
        </w:r>
        <w:r w:rsidR="00E00DC7" w:rsidRPr="00BB2220">
          <w:rPr>
            <w:rStyle w:val="Hyperlink"/>
          </w:rPr>
          <w:t>VIC Murray above Barmah Choke: Low Reliability</w:t>
        </w:r>
        <w:r w:rsidR="00E00DC7">
          <w:rPr>
            <w:webHidden/>
          </w:rPr>
          <w:tab/>
        </w:r>
        <w:r>
          <w:rPr>
            <w:webHidden/>
          </w:rPr>
          <w:fldChar w:fldCharType="begin"/>
        </w:r>
        <w:r w:rsidR="00E00DC7">
          <w:rPr>
            <w:webHidden/>
          </w:rPr>
          <w:instrText xml:space="preserve"> PAGEREF _Toc441834745 \h </w:instrText>
        </w:r>
        <w:r>
          <w:rPr>
            <w:webHidden/>
          </w:rPr>
        </w:r>
        <w:r>
          <w:rPr>
            <w:webHidden/>
          </w:rPr>
          <w:fldChar w:fldCharType="separate"/>
        </w:r>
        <w:r w:rsidR="00E00DC7">
          <w:rPr>
            <w:webHidden/>
          </w:rPr>
          <w:t>7</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46" w:history="1">
        <w:r w:rsidR="00E00DC7" w:rsidRPr="00BB2220">
          <w:rPr>
            <w:rStyle w:val="Hyperlink"/>
          </w:rPr>
          <w:t>2.4</w:t>
        </w:r>
        <w:r w:rsidR="00E00DC7">
          <w:rPr>
            <w:rFonts w:asciiTheme="minorHAnsi" w:eastAsiaTheme="minorEastAsia" w:hAnsiTheme="minorHAnsi" w:cstheme="minorBidi"/>
            <w:sz w:val="22"/>
            <w:szCs w:val="22"/>
            <w:lang w:eastAsia="en-AU"/>
          </w:rPr>
          <w:tab/>
        </w:r>
        <w:r w:rsidR="00E00DC7" w:rsidRPr="00BB2220">
          <w:rPr>
            <w:rStyle w:val="Hyperlink"/>
          </w:rPr>
          <w:t>VIC Murray below Barmah Choke: High Reliability</w:t>
        </w:r>
        <w:r w:rsidR="00E00DC7">
          <w:rPr>
            <w:webHidden/>
          </w:rPr>
          <w:tab/>
        </w:r>
        <w:r>
          <w:rPr>
            <w:webHidden/>
          </w:rPr>
          <w:fldChar w:fldCharType="begin"/>
        </w:r>
        <w:r w:rsidR="00E00DC7">
          <w:rPr>
            <w:webHidden/>
          </w:rPr>
          <w:instrText xml:space="preserve"> PAGEREF _Toc441834746 \h </w:instrText>
        </w:r>
        <w:r>
          <w:rPr>
            <w:webHidden/>
          </w:rPr>
        </w:r>
        <w:r>
          <w:rPr>
            <w:webHidden/>
          </w:rPr>
          <w:fldChar w:fldCharType="separate"/>
        </w:r>
        <w:r w:rsidR="00E00DC7">
          <w:rPr>
            <w:webHidden/>
          </w:rPr>
          <w:t>8</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47" w:history="1">
        <w:r w:rsidR="00E00DC7" w:rsidRPr="00BB2220">
          <w:rPr>
            <w:rStyle w:val="Hyperlink"/>
          </w:rPr>
          <w:t>2.5</w:t>
        </w:r>
        <w:r w:rsidR="00E00DC7">
          <w:rPr>
            <w:rFonts w:asciiTheme="minorHAnsi" w:eastAsiaTheme="minorEastAsia" w:hAnsiTheme="minorHAnsi" w:cstheme="minorBidi"/>
            <w:sz w:val="22"/>
            <w:szCs w:val="22"/>
            <w:lang w:eastAsia="en-AU"/>
          </w:rPr>
          <w:tab/>
        </w:r>
        <w:r w:rsidR="00E00DC7" w:rsidRPr="00BB2220">
          <w:rPr>
            <w:rStyle w:val="Hyperlink"/>
          </w:rPr>
          <w:t>VIC Murray below Barmah Choke: Low Reliability</w:t>
        </w:r>
        <w:r w:rsidR="00E00DC7">
          <w:rPr>
            <w:webHidden/>
          </w:rPr>
          <w:tab/>
        </w:r>
        <w:r>
          <w:rPr>
            <w:webHidden/>
          </w:rPr>
          <w:fldChar w:fldCharType="begin"/>
        </w:r>
        <w:r w:rsidR="00E00DC7">
          <w:rPr>
            <w:webHidden/>
          </w:rPr>
          <w:instrText xml:space="preserve"> PAGEREF _Toc441834747 \h </w:instrText>
        </w:r>
        <w:r>
          <w:rPr>
            <w:webHidden/>
          </w:rPr>
        </w:r>
        <w:r>
          <w:rPr>
            <w:webHidden/>
          </w:rPr>
          <w:fldChar w:fldCharType="separate"/>
        </w:r>
        <w:r w:rsidR="00E00DC7">
          <w:rPr>
            <w:webHidden/>
          </w:rPr>
          <w:t>9</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48" w:history="1">
        <w:r w:rsidR="00E00DC7" w:rsidRPr="00BB2220">
          <w:rPr>
            <w:rStyle w:val="Hyperlink"/>
          </w:rPr>
          <w:t>2.6</w:t>
        </w:r>
        <w:r w:rsidR="00E00DC7">
          <w:rPr>
            <w:rFonts w:asciiTheme="minorHAnsi" w:eastAsiaTheme="minorEastAsia" w:hAnsiTheme="minorHAnsi" w:cstheme="minorBidi"/>
            <w:sz w:val="22"/>
            <w:szCs w:val="22"/>
            <w:lang w:eastAsia="en-AU"/>
          </w:rPr>
          <w:tab/>
        </w:r>
        <w:r w:rsidR="00E00DC7" w:rsidRPr="00BB2220">
          <w:rPr>
            <w:rStyle w:val="Hyperlink"/>
          </w:rPr>
          <w:t>Goulburn: High Reliability</w:t>
        </w:r>
        <w:r w:rsidR="00E00DC7">
          <w:rPr>
            <w:webHidden/>
          </w:rPr>
          <w:tab/>
        </w:r>
        <w:r>
          <w:rPr>
            <w:webHidden/>
          </w:rPr>
          <w:fldChar w:fldCharType="begin"/>
        </w:r>
        <w:r w:rsidR="00E00DC7">
          <w:rPr>
            <w:webHidden/>
          </w:rPr>
          <w:instrText xml:space="preserve"> PAGEREF _Toc441834748 \h </w:instrText>
        </w:r>
        <w:r>
          <w:rPr>
            <w:webHidden/>
          </w:rPr>
        </w:r>
        <w:r>
          <w:rPr>
            <w:webHidden/>
          </w:rPr>
          <w:fldChar w:fldCharType="separate"/>
        </w:r>
        <w:r w:rsidR="00E00DC7">
          <w:rPr>
            <w:webHidden/>
          </w:rPr>
          <w:t>10</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49" w:history="1">
        <w:r w:rsidR="00E00DC7" w:rsidRPr="00BB2220">
          <w:rPr>
            <w:rStyle w:val="Hyperlink"/>
          </w:rPr>
          <w:t>2.7</w:t>
        </w:r>
        <w:r w:rsidR="00E00DC7">
          <w:rPr>
            <w:rFonts w:asciiTheme="minorHAnsi" w:eastAsiaTheme="minorEastAsia" w:hAnsiTheme="minorHAnsi" w:cstheme="minorBidi"/>
            <w:sz w:val="22"/>
            <w:szCs w:val="22"/>
            <w:lang w:eastAsia="en-AU"/>
          </w:rPr>
          <w:tab/>
        </w:r>
        <w:r w:rsidR="00E00DC7" w:rsidRPr="00BB2220">
          <w:rPr>
            <w:rStyle w:val="Hyperlink"/>
          </w:rPr>
          <w:t>Goulburn: Low Reliability</w:t>
        </w:r>
        <w:r w:rsidR="00E00DC7">
          <w:rPr>
            <w:webHidden/>
          </w:rPr>
          <w:tab/>
        </w:r>
        <w:r>
          <w:rPr>
            <w:webHidden/>
          </w:rPr>
          <w:fldChar w:fldCharType="begin"/>
        </w:r>
        <w:r w:rsidR="00E00DC7">
          <w:rPr>
            <w:webHidden/>
          </w:rPr>
          <w:instrText xml:space="preserve"> PAGEREF _Toc441834749 \h </w:instrText>
        </w:r>
        <w:r>
          <w:rPr>
            <w:webHidden/>
          </w:rPr>
        </w:r>
        <w:r>
          <w:rPr>
            <w:webHidden/>
          </w:rPr>
          <w:fldChar w:fldCharType="separate"/>
        </w:r>
        <w:r w:rsidR="00E00DC7">
          <w:rPr>
            <w:webHidden/>
          </w:rPr>
          <w:t>11</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50" w:history="1">
        <w:r w:rsidR="00E00DC7" w:rsidRPr="00BB2220">
          <w:rPr>
            <w:rStyle w:val="Hyperlink"/>
          </w:rPr>
          <w:t>2.8</w:t>
        </w:r>
        <w:r w:rsidR="00E00DC7">
          <w:rPr>
            <w:rFonts w:asciiTheme="minorHAnsi" w:eastAsiaTheme="minorEastAsia" w:hAnsiTheme="minorHAnsi" w:cstheme="minorBidi"/>
            <w:sz w:val="22"/>
            <w:szCs w:val="22"/>
            <w:lang w:eastAsia="en-AU"/>
          </w:rPr>
          <w:tab/>
        </w:r>
        <w:r w:rsidR="00E00DC7" w:rsidRPr="00BB2220">
          <w:rPr>
            <w:rStyle w:val="Hyperlink"/>
          </w:rPr>
          <w:t>Campaspe: High Reliability</w:t>
        </w:r>
        <w:r w:rsidR="00E00DC7">
          <w:rPr>
            <w:webHidden/>
          </w:rPr>
          <w:tab/>
        </w:r>
        <w:r>
          <w:rPr>
            <w:webHidden/>
          </w:rPr>
          <w:fldChar w:fldCharType="begin"/>
        </w:r>
        <w:r w:rsidR="00E00DC7">
          <w:rPr>
            <w:webHidden/>
          </w:rPr>
          <w:instrText xml:space="preserve"> PAGEREF _Toc441834750 \h </w:instrText>
        </w:r>
        <w:r>
          <w:rPr>
            <w:webHidden/>
          </w:rPr>
        </w:r>
        <w:r>
          <w:rPr>
            <w:webHidden/>
          </w:rPr>
          <w:fldChar w:fldCharType="separate"/>
        </w:r>
        <w:r w:rsidR="00E00DC7">
          <w:rPr>
            <w:webHidden/>
          </w:rPr>
          <w:t>12</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51" w:history="1">
        <w:r w:rsidR="00E00DC7" w:rsidRPr="00BB2220">
          <w:rPr>
            <w:rStyle w:val="Hyperlink"/>
          </w:rPr>
          <w:t>2.9</w:t>
        </w:r>
        <w:r w:rsidR="00E00DC7">
          <w:rPr>
            <w:rFonts w:asciiTheme="minorHAnsi" w:eastAsiaTheme="minorEastAsia" w:hAnsiTheme="minorHAnsi" w:cstheme="minorBidi"/>
            <w:sz w:val="22"/>
            <w:szCs w:val="22"/>
            <w:lang w:eastAsia="en-AU"/>
          </w:rPr>
          <w:tab/>
        </w:r>
        <w:r w:rsidR="00E00DC7" w:rsidRPr="00BB2220">
          <w:rPr>
            <w:rStyle w:val="Hyperlink"/>
          </w:rPr>
          <w:t>Loddon: High Reliability</w:t>
        </w:r>
        <w:r w:rsidR="00E00DC7">
          <w:rPr>
            <w:webHidden/>
          </w:rPr>
          <w:tab/>
        </w:r>
        <w:r>
          <w:rPr>
            <w:webHidden/>
          </w:rPr>
          <w:fldChar w:fldCharType="begin"/>
        </w:r>
        <w:r w:rsidR="00E00DC7">
          <w:rPr>
            <w:webHidden/>
          </w:rPr>
          <w:instrText xml:space="preserve"> PAGEREF _Toc441834751 \h </w:instrText>
        </w:r>
        <w:r>
          <w:rPr>
            <w:webHidden/>
          </w:rPr>
        </w:r>
        <w:r>
          <w:rPr>
            <w:webHidden/>
          </w:rPr>
          <w:fldChar w:fldCharType="separate"/>
        </w:r>
        <w:r w:rsidR="00E00DC7">
          <w:rPr>
            <w:webHidden/>
          </w:rPr>
          <w:t>13</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52" w:history="1">
        <w:r w:rsidR="00E00DC7" w:rsidRPr="00BB2220">
          <w:rPr>
            <w:rStyle w:val="Hyperlink"/>
          </w:rPr>
          <w:t>2.10</w:t>
        </w:r>
        <w:r w:rsidR="00E00DC7">
          <w:rPr>
            <w:rFonts w:asciiTheme="minorHAnsi" w:eastAsiaTheme="minorEastAsia" w:hAnsiTheme="minorHAnsi" w:cstheme="minorBidi"/>
            <w:sz w:val="22"/>
            <w:szCs w:val="22"/>
            <w:lang w:eastAsia="en-AU"/>
          </w:rPr>
          <w:tab/>
        </w:r>
        <w:r w:rsidR="00E00DC7" w:rsidRPr="00BB2220">
          <w:rPr>
            <w:rStyle w:val="Hyperlink"/>
          </w:rPr>
          <w:t>NSW Murray: General Security</w:t>
        </w:r>
        <w:r w:rsidR="00E00DC7">
          <w:rPr>
            <w:webHidden/>
          </w:rPr>
          <w:tab/>
        </w:r>
        <w:r>
          <w:rPr>
            <w:webHidden/>
          </w:rPr>
          <w:fldChar w:fldCharType="begin"/>
        </w:r>
        <w:r w:rsidR="00E00DC7">
          <w:rPr>
            <w:webHidden/>
          </w:rPr>
          <w:instrText xml:space="preserve"> PAGEREF _Toc441834752 \h </w:instrText>
        </w:r>
        <w:r>
          <w:rPr>
            <w:webHidden/>
          </w:rPr>
        </w:r>
        <w:r>
          <w:rPr>
            <w:webHidden/>
          </w:rPr>
          <w:fldChar w:fldCharType="separate"/>
        </w:r>
        <w:r w:rsidR="00E00DC7">
          <w:rPr>
            <w:webHidden/>
          </w:rPr>
          <w:t>14</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53" w:history="1">
        <w:r w:rsidR="00E00DC7" w:rsidRPr="00BB2220">
          <w:rPr>
            <w:rStyle w:val="Hyperlink"/>
          </w:rPr>
          <w:t>2.11</w:t>
        </w:r>
        <w:r w:rsidR="00E00DC7">
          <w:rPr>
            <w:rFonts w:asciiTheme="minorHAnsi" w:eastAsiaTheme="minorEastAsia" w:hAnsiTheme="minorHAnsi" w:cstheme="minorBidi"/>
            <w:sz w:val="22"/>
            <w:szCs w:val="22"/>
            <w:lang w:eastAsia="en-AU"/>
          </w:rPr>
          <w:tab/>
        </w:r>
        <w:r w:rsidR="00E00DC7" w:rsidRPr="00BB2220">
          <w:rPr>
            <w:rStyle w:val="Hyperlink"/>
          </w:rPr>
          <w:t>NSW Murray: High Security</w:t>
        </w:r>
        <w:r w:rsidR="00E00DC7">
          <w:rPr>
            <w:webHidden/>
          </w:rPr>
          <w:tab/>
        </w:r>
        <w:r>
          <w:rPr>
            <w:webHidden/>
          </w:rPr>
          <w:fldChar w:fldCharType="begin"/>
        </w:r>
        <w:r w:rsidR="00E00DC7">
          <w:rPr>
            <w:webHidden/>
          </w:rPr>
          <w:instrText xml:space="preserve"> PAGEREF _Toc441834753 \h </w:instrText>
        </w:r>
        <w:r>
          <w:rPr>
            <w:webHidden/>
          </w:rPr>
        </w:r>
        <w:r>
          <w:rPr>
            <w:webHidden/>
          </w:rPr>
          <w:fldChar w:fldCharType="separate"/>
        </w:r>
        <w:r w:rsidR="00E00DC7">
          <w:rPr>
            <w:webHidden/>
          </w:rPr>
          <w:t>15</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54" w:history="1">
        <w:r w:rsidR="00E00DC7" w:rsidRPr="00BB2220">
          <w:rPr>
            <w:rStyle w:val="Hyperlink"/>
          </w:rPr>
          <w:t>2.12</w:t>
        </w:r>
        <w:r w:rsidR="00E00DC7">
          <w:rPr>
            <w:rFonts w:asciiTheme="minorHAnsi" w:eastAsiaTheme="minorEastAsia" w:hAnsiTheme="minorHAnsi" w:cstheme="minorBidi"/>
            <w:sz w:val="22"/>
            <w:szCs w:val="22"/>
            <w:lang w:eastAsia="en-AU"/>
          </w:rPr>
          <w:tab/>
        </w:r>
        <w:r w:rsidR="00E00DC7" w:rsidRPr="00BB2220">
          <w:rPr>
            <w:rStyle w:val="Hyperlink"/>
          </w:rPr>
          <w:t>NSW Murray Irrigation Limited</w:t>
        </w:r>
        <w:r w:rsidR="00E00DC7">
          <w:rPr>
            <w:webHidden/>
          </w:rPr>
          <w:tab/>
        </w:r>
        <w:r>
          <w:rPr>
            <w:webHidden/>
          </w:rPr>
          <w:fldChar w:fldCharType="begin"/>
        </w:r>
        <w:r w:rsidR="00E00DC7">
          <w:rPr>
            <w:webHidden/>
          </w:rPr>
          <w:instrText xml:space="preserve"> PAGEREF _Toc441834754 \h </w:instrText>
        </w:r>
        <w:r>
          <w:rPr>
            <w:webHidden/>
          </w:rPr>
        </w:r>
        <w:r>
          <w:rPr>
            <w:webHidden/>
          </w:rPr>
          <w:fldChar w:fldCharType="separate"/>
        </w:r>
        <w:r w:rsidR="00E00DC7">
          <w:rPr>
            <w:webHidden/>
          </w:rPr>
          <w:t>16</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55" w:history="1">
        <w:r w:rsidR="00E00DC7" w:rsidRPr="00BB2220">
          <w:rPr>
            <w:rStyle w:val="Hyperlink"/>
          </w:rPr>
          <w:t>2.13</w:t>
        </w:r>
        <w:r w:rsidR="00E00DC7">
          <w:rPr>
            <w:rFonts w:asciiTheme="minorHAnsi" w:eastAsiaTheme="minorEastAsia" w:hAnsiTheme="minorHAnsi" w:cstheme="minorBidi"/>
            <w:sz w:val="22"/>
            <w:szCs w:val="22"/>
            <w:lang w:eastAsia="en-AU"/>
          </w:rPr>
          <w:tab/>
        </w:r>
        <w:r w:rsidR="00E00DC7" w:rsidRPr="00BB2220">
          <w:rPr>
            <w:rStyle w:val="Hyperlink"/>
          </w:rPr>
          <w:t>Murrumbidgee: General Security</w:t>
        </w:r>
        <w:r w:rsidR="00E00DC7">
          <w:rPr>
            <w:webHidden/>
          </w:rPr>
          <w:tab/>
        </w:r>
        <w:r>
          <w:rPr>
            <w:webHidden/>
          </w:rPr>
          <w:fldChar w:fldCharType="begin"/>
        </w:r>
        <w:r w:rsidR="00E00DC7">
          <w:rPr>
            <w:webHidden/>
          </w:rPr>
          <w:instrText xml:space="preserve"> PAGEREF _Toc441834755 \h </w:instrText>
        </w:r>
        <w:r>
          <w:rPr>
            <w:webHidden/>
          </w:rPr>
        </w:r>
        <w:r>
          <w:rPr>
            <w:webHidden/>
          </w:rPr>
          <w:fldChar w:fldCharType="separate"/>
        </w:r>
        <w:r w:rsidR="00E00DC7">
          <w:rPr>
            <w:webHidden/>
          </w:rPr>
          <w:t>17</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56" w:history="1">
        <w:r w:rsidR="00E00DC7" w:rsidRPr="00BB2220">
          <w:rPr>
            <w:rStyle w:val="Hyperlink"/>
          </w:rPr>
          <w:t>2.14</w:t>
        </w:r>
        <w:r w:rsidR="00E00DC7">
          <w:rPr>
            <w:rFonts w:asciiTheme="minorHAnsi" w:eastAsiaTheme="minorEastAsia" w:hAnsiTheme="minorHAnsi" w:cstheme="minorBidi"/>
            <w:sz w:val="22"/>
            <w:szCs w:val="22"/>
            <w:lang w:eastAsia="en-AU"/>
          </w:rPr>
          <w:tab/>
        </w:r>
        <w:r w:rsidR="00E00DC7" w:rsidRPr="00BB2220">
          <w:rPr>
            <w:rStyle w:val="Hyperlink"/>
          </w:rPr>
          <w:t>Murrumbidgee: High Security</w:t>
        </w:r>
        <w:r w:rsidR="00E00DC7">
          <w:rPr>
            <w:webHidden/>
          </w:rPr>
          <w:tab/>
        </w:r>
        <w:r>
          <w:rPr>
            <w:webHidden/>
          </w:rPr>
          <w:fldChar w:fldCharType="begin"/>
        </w:r>
        <w:r w:rsidR="00E00DC7">
          <w:rPr>
            <w:webHidden/>
          </w:rPr>
          <w:instrText xml:space="preserve"> PAGEREF _Toc441834756 \h </w:instrText>
        </w:r>
        <w:r>
          <w:rPr>
            <w:webHidden/>
          </w:rPr>
        </w:r>
        <w:r>
          <w:rPr>
            <w:webHidden/>
          </w:rPr>
          <w:fldChar w:fldCharType="separate"/>
        </w:r>
        <w:r w:rsidR="00E00DC7">
          <w:rPr>
            <w:webHidden/>
          </w:rPr>
          <w:t>18</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57" w:history="1">
        <w:r w:rsidR="00E00DC7" w:rsidRPr="00BB2220">
          <w:rPr>
            <w:rStyle w:val="Hyperlink"/>
          </w:rPr>
          <w:t>2.15</w:t>
        </w:r>
        <w:r w:rsidR="00E00DC7">
          <w:rPr>
            <w:rFonts w:asciiTheme="minorHAnsi" w:eastAsiaTheme="minorEastAsia" w:hAnsiTheme="minorHAnsi" w:cstheme="minorBidi"/>
            <w:sz w:val="22"/>
            <w:szCs w:val="22"/>
            <w:lang w:eastAsia="en-AU"/>
          </w:rPr>
          <w:tab/>
        </w:r>
        <w:r w:rsidR="00E00DC7" w:rsidRPr="00BB2220">
          <w:rPr>
            <w:rStyle w:val="Hyperlink"/>
          </w:rPr>
          <w:t>Lower Darling: General Security</w:t>
        </w:r>
        <w:r w:rsidR="00E00DC7">
          <w:rPr>
            <w:webHidden/>
          </w:rPr>
          <w:tab/>
        </w:r>
        <w:r>
          <w:rPr>
            <w:webHidden/>
          </w:rPr>
          <w:fldChar w:fldCharType="begin"/>
        </w:r>
        <w:r w:rsidR="00E00DC7">
          <w:rPr>
            <w:webHidden/>
          </w:rPr>
          <w:instrText xml:space="preserve"> PAGEREF _Toc441834757 \h </w:instrText>
        </w:r>
        <w:r>
          <w:rPr>
            <w:webHidden/>
          </w:rPr>
        </w:r>
        <w:r>
          <w:rPr>
            <w:webHidden/>
          </w:rPr>
          <w:fldChar w:fldCharType="separate"/>
        </w:r>
        <w:r w:rsidR="00E00DC7">
          <w:rPr>
            <w:webHidden/>
          </w:rPr>
          <w:t>19</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58" w:history="1">
        <w:r w:rsidR="00E00DC7" w:rsidRPr="00BB2220">
          <w:rPr>
            <w:rStyle w:val="Hyperlink"/>
          </w:rPr>
          <w:t>2.16</w:t>
        </w:r>
        <w:r w:rsidR="00E00DC7">
          <w:rPr>
            <w:rFonts w:asciiTheme="minorHAnsi" w:eastAsiaTheme="minorEastAsia" w:hAnsiTheme="minorHAnsi" w:cstheme="minorBidi"/>
            <w:sz w:val="22"/>
            <w:szCs w:val="22"/>
            <w:lang w:eastAsia="en-AU"/>
          </w:rPr>
          <w:tab/>
        </w:r>
        <w:r w:rsidR="00E00DC7" w:rsidRPr="00BB2220">
          <w:rPr>
            <w:rStyle w:val="Hyperlink"/>
          </w:rPr>
          <w:t>Lower Darling: High Security</w:t>
        </w:r>
        <w:r w:rsidR="00E00DC7">
          <w:rPr>
            <w:webHidden/>
          </w:rPr>
          <w:tab/>
        </w:r>
        <w:r>
          <w:rPr>
            <w:webHidden/>
          </w:rPr>
          <w:fldChar w:fldCharType="begin"/>
        </w:r>
        <w:r w:rsidR="00E00DC7">
          <w:rPr>
            <w:webHidden/>
          </w:rPr>
          <w:instrText xml:space="preserve"> PAGEREF _Toc441834758 \h </w:instrText>
        </w:r>
        <w:r>
          <w:rPr>
            <w:webHidden/>
          </w:rPr>
        </w:r>
        <w:r>
          <w:rPr>
            <w:webHidden/>
          </w:rPr>
          <w:fldChar w:fldCharType="separate"/>
        </w:r>
        <w:r w:rsidR="00E00DC7">
          <w:rPr>
            <w:webHidden/>
          </w:rPr>
          <w:t>20</w:t>
        </w:r>
        <w:r>
          <w:rPr>
            <w:webHidden/>
          </w:rPr>
          <w:fldChar w:fldCharType="end"/>
        </w:r>
      </w:hyperlink>
    </w:p>
    <w:p w:rsidR="00E00DC7" w:rsidRDefault="00C23339">
      <w:pPr>
        <w:pStyle w:val="TOC1"/>
        <w:rPr>
          <w:rFonts w:asciiTheme="minorHAnsi" w:eastAsiaTheme="minorEastAsia" w:hAnsiTheme="minorHAnsi" w:cstheme="minorBidi"/>
          <w:b w:val="0"/>
          <w:sz w:val="22"/>
          <w:szCs w:val="22"/>
          <w:lang w:eastAsia="en-AU"/>
        </w:rPr>
      </w:pPr>
      <w:hyperlink w:anchor="_Toc441834759" w:history="1">
        <w:r w:rsidR="00E00DC7" w:rsidRPr="00BB2220">
          <w:rPr>
            <w:rStyle w:val="Hyperlink"/>
          </w:rPr>
          <w:t>3.</w:t>
        </w:r>
        <w:r w:rsidR="00E00DC7">
          <w:rPr>
            <w:rFonts w:asciiTheme="minorHAnsi" w:eastAsiaTheme="minorEastAsia" w:hAnsiTheme="minorHAnsi" w:cstheme="minorBidi"/>
            <w:b w:val="0"/>
            <w:sz w:val="22"/>
            <w:szCs w:val="22"/>
            <w:lang w:eastAsia="en-AU"/>
          </w:rPr>
          <w:tab/>
        </w:r>
        <w:r w:rsidR="00E00DC7" w:rsidRPr="00BB2220">
          <w:rPr>
            <w:rStyle w:val="Hyperlink"/>
          </w:rPr>
          <w:t>Northern Murray-Darling Basin</w:t>
        </w:r>
        <w:r w:rsidR="00E00DC7">
          <w:rPr>
            <w:webHidden/>
          </w:rPr>
          <w:tab/>
        </w:r>
        <w:r>
          <w:rPr>
            <w:webHidden/>
          </w:rPr>
          <w:fldChar w:fldCharType="begin"/>
        </w:r>
        <w:r w:rsidR="00E00DC7">
          <w:rPr>
            <w:webHidden/>
          </w:rPr>
          <w:instrText xml:space="preserve"> PAGEREF _Toc441834759 \h </w:instrText>
        </w:r>
        <w:r>
          <w:rPr>
            <w:webHidden/>
          </w:rPr>
        </w:r>
        <w:r>
          <w:rPr>
            <w:webHidden/>
          </w:rPr>
          <w:fldChar w:fldCharType="separate"/>
        </w:r>
        <w:r w:rsidR="00E00DC7">
          <w:rPr>
            <w:webHidden/>
          </w:rPr>
          <w:t>21</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60" w:history="1">
        <w:r w:rsidR="00E00DC7" w:rsidRPr="00BB2220">
          <w:rPr>
            <w:rStyle w:val="Hyperlink"/>
          </w:rPr>
          <w:t>3.1</w:t>
        </w:r>
        <w:r w:rsidR="00E00DC7">
          <w:rPr>
            <w:rFonts w:asciiTheme="minorHAnsi" w:eastAsiaTheme="minorEastAsia" w:hAnsiTheme="minorHAnsi" w:cstheme="minorBidi"/>
            <w:sz w:val="22"/>
            <w:szCs w:val="22"/>
            <w:lang w:eastAsia="en-AU"/>
          </w:rPr>
          <w:tab/>
        </w:r>
        <w:r w:rsidR="00E00DC7" w:rsidRPr="00BB2220">
          <w:rPr>
            <w:rStyle w:val="Hyperlink"/>
          </w:rPr>
          <w:t>Macquarie: General Security</w:t>
        </w:r>
        <w:r w:rsidR="00E00DC7">
          <w:rPr>
            <w:webHidden/>
          </w:rPr>
          <w:tab/>
        </w:r>
        <w:r>
          <w:rPr>
            <w:webHidden/>
          </w:rPr>
          <w:fldChar w:fldCharType="begin"/>
        </w:r>
        <w:r w:rsidR="00E00DC7">
          <w:rPr>
            <w:webHidden/>
          </w:rPr>
          <w:instrText xml:space="preserve"> PAGEREF _Toc441834760 \h </w:instrText>
        </w:r>
        <w:r>
          <w:rPr>
            <w:webHidden/>
          </w:rPr>
        </w:r>
        <w:r>
          <w:rPr>
            <w:webHidden/>
          </w:rPr>
          <w:fldChar w:fldCharType="separate"/>
        </w:r>
        <w:r w:rsidR="00E00DC7">
          <w:rPr>
            <w:webHidden/>
          </w:rPr>
          <w:t>22</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61" w:history="1">
        <w:r w:rsidR="00E00DC7" w:rsidRPr="00BB2220">
          <w:rPr>
            <w:rStyle w:val="Hyperlink"/>
          </w:rPr>
          <w:t>3.2</w:t>
        </w:r>
        <w:r w:rsidR="00E00DC7">
          <w:rPr>
            <w:rFonts w:asciiTheme="minorHAnsi" w:eastAsiaTheme="minorEastAsia" w:hAnsiTheme="minorHAnsi" w:cstheme="minorBidi"/>
            <w:sz w:val="22"/>
            <w:szCs w:val="22"/>
            <w:lang w:eastAsia="en-AU"/>
          </w:rPr>
          <w:tab/>
        </w:r>
        <w:r w:rsidR="00E00DC7" w:rsidRPr="00BB2220">
          <w:rPr>
            <w:rStyle w:val="Hyperlink"/>
          </w:rPr>
          <w:t>Namoi: General Security</w:t>
        </w:r>
        <w:r w:rsidR="00E00DC7">
          <w:rPr>
            <w:webHidden/>
          </w:rPr>
          <w:tab/>
        </w:r>
        <w:r>
          <w:rPr>
            <w:webHidden/>
          </w:rPr>
          <w:fldChar w:fldCharType="begin"/>
        </w:r>
        <w:r w:rsidR="00E00DC7">
          <w:rPr>
            <w:webHidden/>
          </w:rPr>
          <w:instrText xml:space="preserve"> PAGEREF _Toc441834761 \h </w:instrText>
        </w:r>
        <w:r>
          <w:rPr>
            <w:webHidden/>
          </w:rPr>
        </w:r>
        <w:r>
          <w:rPr>
            <w:webHidden/>
          </w:rPr>
          <w:fldChar w:fldCharType="separate"/>
        </w:r>
        <w:r w:rsidR="00E00DC7">
          <w:rPr>
            <w:webHidden/>
          </w:rPr>
          <w:t>23</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62" w:history="1">
        <w:r w:rsidR="00E00DC7" w:rsidRPr="00BB2220">
          <w:rPr>
            <w:rStyle w:val="Hyperlink"/>
          </w:rPr>
          <w:t>3.3</w:t>
        </w:r>
        <w:r w:rsidR="00E00DC7">
          <w:rPr>
            <w:rFonts w:asciiTheme="minorHAnsi" w:eastAsiaTheme="minorEastAsia" w:hAnsiTheme="minorHAnsi" w:cstheme="minorBidi"/>
            <w:sz w:val="22"/>
            <w:szCs w:val="22"/>
            <w:lang w:eastAsia="en-AU"/>
          </w:rPr>
          <w:tab/>
        </w:r>
        <w:r w:rsidR="00E00DC7" w:rsidRPr="00BB2220">
          <w:rPr>
            <w:rStyle w:val="Hyperlink"/>
          </w:rPr>
          <w:t>Gwydir: General Security</w:t>
        </w:r>
        <w:r w:rsidR="00E00DC7">
          <w:rPr>
            <w:webHidden/>
          </w:rPr>
          <w:tab/>
        </w:r>
        <w:r>
          <w:rPr>
            <w:webHidden/>
          </w:rPr>
          <w:fldChar w:fldCharType="begin"/>
        </w:r>
        <w:r w:rsidR="00E00DC7">
          <w:rPr>
            <w:webHidden/>
          </w:rPr>
          <w:instrText xml:space="preserve"> PAGEREF _Toc441834762 \h </w:instrText>
        </w:r>
        <w:r>
          <w:rPr>
            <w:webHidden/>
          </w:rPr>
        </w:r>
        <w:r>
          <w:rPr>
            <w:webHidden/>
          </w:rPr>
          <w:fldChar w:fldCharType="separate"/>
        </w:r>
        <w:r w:rsidR="00E00DC7">
          <w:rPr>
            <w:webHidden/>
          </w:rPr>
          <w:t>24</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63" w:history="1">
        <w:r w:rsidR="00E00DC7" w:rsidRPr="00BB2220">
          <w:rPr>
            <w:rStyle w:val="Hyperlink"/>
          </w:rPr>
          <w:t>3.4</w:t>
        </w:r>
        <w:r w:rsidR="00E00DC7">
          <w:rPr>
            <w:rFonts w:asciiTheme="minorHAnsi" w:eastAsiaTheme="minorEastAsia" w:hAnsiTheme="minorHAnsi" w:cstheme="minorBidi"/>
            <w:sz w:val="22"/>
            <w:szCs w:val="22"/>
            <w:lang w:eastAsia="en-AU"/>
          </w:rPr>
          <w:tab/>
        </w:r>
        <w:r w:rsidR="00E00DC7" w:rsidRPr="00BB2220">
          <w:rPr>
            <w:rStyle w:val="Hyperlink"/>
          </w:rPr>
          <w:t>NSW Border Rivers: General Security</w:t>
        </w:r>
        <w:r w:rsidR="00E00DC7">
          <w:rPr>
            <w:webHidden/>
          </w:rPr>
          <w:tab/>
        </w:r>
        <w:r>
          <w:rPr>
            <w:webHidden/>
          </w:rPr>
          <w:fldChar w:fldCharType="begin"/>
        </w:r>
        <w:r w:rsidR="00E00DC7">
          <w:rPr>
            <w:webHidden/>
          </w:rPr>
          <w:instrText xml:space="preserve"> PAGEREF _Toc441834763 \h </w:instrText>
        </w:r>
        <w:r>
          <w:rPr>
            <w:webHidden/>
          </w:rPr>
        </w:r>
        <w:r>
          <w:rPr>
            <w:webHidden/>
          </w:rPr>
          <w:fldChar w:fldCharType="separate"/>
        </w:r>
        <w:r w:rsidR="00E00DC7">
          <w:rPr>
            <w:webHidden/>
          </w:rPr>
          <w:t>25</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64" w:history="1">
        <w:r w:rsidR="00E00DC7" w:rsidRPr="00BB2220">
          <w:rPr>
            <w:rStyle w:val="Hyperlink"/>
          </w:rPr>
          <w:t>3.5</w:t>
        </w:r>
        <w:r w:rsidR="00E00DC7">
          <w:rPr>
            <w:rFonts w:asciiTheme="minorHAnsi" w:eastAsiaTheme="minorEastAsia" w:hAnsiTheme="minorHAnsi" w:cstheme="minorBidi"/>
            <w:sz w:val="22"/>
            <w:szCs w:val="22"/>
            <w:lang w:eastAsia="en-AU"/>
          </w:rPr>
          <w:tab/>
        </w:r>
        <w:r w:rsidR="00E00DC7" w:rsidRPr="00BB2220">
          <w:rPr>
            <w:rStyle w:val="Hyperlink"/>
          </w:rPr>
          <w:t>Barwon Darling: Unregulated</w:t>
        </w:r>
        <w:r w:rsidR="00E00DC7">
          <w:rPr>
            <w:webHidden/>
          </w:rPr>
          <w:tab/>
        </w:r>
        <w:r>
          <w:rPr>
            <w:webHidden/>
          </w:rPr>
          <w:fldChar w:fldCharType="begin"/>
        </w:r>
        <w:r w:rsidR="00E00DC7">
          <w:rPr>
            <w:webHidden/>
          </w:rPr>
          <w:instrText xml:space="preserve"> PAGEREF _Toc441834764 \h </w:instrText>
        </w:r>
        <w:r>
          <w:rPr>
            <w:webHidden/>
          </w:rPr>
        </w:r>
        <w:r>
          <w:rPr>
            <w:webHidden/>
          </w:rPr>
          <w:fldChar w:fldCharType="separate"/>
        </w:r>
        <w:r w:rsidR="00E00DC7">
          <w:rPr>
            <w:webHidden/>
          </w:rPr>
          <w:t>26</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65" w:history="1">
        <w:r w:rsidR="00E00DC7" w:rsidRPr="00BB2220">
          <w:rPr>
            <w:rStyle w:val="Hyperlink"/>
          </w:rPr>
          <w:t>3.6</w:t>
        </w:r>
        <w:r w:rsidR="00E00DC7">
          <w:rPr>
            <w:rFonts w:asciiTheme="minorHAnsi" w:eastAsiaTheme="minorEastAsia" w:hAnsiTheme="minorHAnsi" w:cstheme="minorBidi"/>
            <w:sz w:val="22"/>
            <w:szCs w:val="22"/>
            <w:lang w:eastAsia="en-AU"/>
          </w:rPr>
          <w:tab/>
        </w:r>
        <w:r w:rsidR="00E00DC7" w:rsidRPr="00BB2220">
          <w:rPr>
            <w:rStyle w:val="Hyperlink"/>
          </w:rPr>
          <w:t>Lachlan: General Security</w:t>
        </w:r>
        <w:r w:rsidR="00E00DC7">
          <w:rPr>
            <w:webHidden/>
          </w:rPr>
          <w:tab/>
        </w:r>
        <w:r>
          <w:rPr>
            <w:webHidden/>
          </w:rPr>
          <w:fldChar w:fldCharType="begin"/>
        </w:r>
        <w:r w:rsidR="00E00DC7">
          <w:rPr>
            <w:webHidden/>
          </w:rPr>
          <w:instrText xml:space="preserve"> PAGEREF _Toc441834765 \h </w:instrText>
        </w:r>
        <w:r>
          <w:rPr>
            <w:webHidden/>
          </w:rPr>
        </w:r>
        <w:r>
          <w:rPr>
            <w:webHidden/>
          </w:rPr>
          <w:fldChar w:fldCharType="separate"/>
        </w:r>
        <w:r w:rsidR="00E00DC7">
          <w:rPr>
            <w:webHidden/>
          </w:rPr>
          <w:t>27</w:t>
        </w:r>
        <w:r>
          <w:rPr>
            <w:webHidden/>
          </w:rPr>
          <w:fldChar w:fldCharType="end"/>
        </w:r>
      </w:hyperlink>
    </w:p>
    <w:p w:rsidR="00E00DC7" w:rsidRDefault="00C23339">
      <w:pPr>
        <w:pStyle w:val="TOC2"/>
        <w:rPr>
          <w:rFonts w:asciiTheme="minorHAnsi" w:eastAsiaTheme="minorEastAsia" w:hAnsiTheme="minorHAnsi" w:cstheme="minorBidi"/>
          <w:sz w:val="22"/>
          <w:szCs w:val="22"/>
          <w:lang w:eastAsia="en-AU"/>
        </w:rPr>
      </w:pPr>
      <w:hyperlink w:anchor="_Toc441834766" w:history="1">
        <w:r w:rsidR="00E00DC7" w:rsidRPr="00BB2220">
          <w:rPr>
            <w:rStyle w:val="Hyperlink"/>
          </w:rPr>
          <w:t>3.7</w:t>
        </w:r>
        <w:r w:rsidR="00E00DC7">
          <w:rPr>
            <w:rFonts w:asciiTheme="minorHAnsi" w:eastAsiaTheme="minorEastAsia" w:hAnsiTheme="minorHAnsi" w:cstheme="minorBidi"/>
            <w:sz w:val="22"/>
            <w:szCs w:val="22"/>
            <w:lang w:eastAsia="en-AU"/>
          </w:rPr>
          <w:tab/>
        </w:r>
        <w:r w:rsidR="00E00DC7" w:rsidRPr="00BB2220">
          <w:rPr>
            <w:rStyle w:val="Hyperlink"/>
          </w:rPr>
          <w:t>Queensland</w:t>
        </w:r>
        <w:r w:rsidR="00E00DC7">
          <w:rPr>
            <w:webHidden/>
          </w:rPr>
          <w:tab/>
        </w:r>
        <w:r>
          <w:rPr>
            <w:webHidden/>
          </w:rPr>
          <w:fldChar w:fldCharType="begin"/>
        </w:r>
        <w:r w:rsidR="00E00DC7">
          <w:rPr>
            <w:webHidden/>
          </w:rPr>
          <w:instrText xml:space="preserve"> PAGEREF _Toc441834766 \h </w:instrText>
        </w:r>
        <w:r>
          <w:rPr>
            <w:webHidden/>
          </w:rPr>
        </w:r>
        <w:r>
          <w:rPr>
            <w:webHidden/>
          </w:rPr>
          <w:fldChar w:fldCharType="separate"/>
        </w:r>
        <w:r w:rsidR="00E00DC7">
          <w:rPr>
            <w:webHidden/>
          </w:rPr>
          <w:t>28</w:t>
        </w:r>
        <w:r>
          <w:rPr>
            <w:webHidden/>
          </w:rPr>
          <w:fldChar w:fldCharType="end"/>
        </w:r>
      </w:hyperlink>
    </w:p>
    <w:p w:rsidR="00E00DC7" w:rsidRDefault="00C23339">
      <w:pPr>
        <w:pStyle w:val="TOC1"/>
        <w:rPr>
          <w:rFonts w:asciiTheme="minorHAnsi" w:eastAsiaTheme="minorEastAsia" w:hAnsiTheme="minorHAnsi" w:cstheme="minorBidi"/>
          <w:b w:val="0"/>
          <w:sz w:val="22"/>
          <w:szCs w:val="22"/>
          <w:lang w:eastAsia="en-AU"/>
        </w:rPr>
      </w:pPr>
      <w:hyperlink w:anchor="_Toc441834767" w:history="1">
        <w:r w:rsidR="00E00DC7" w:rsidRPr="00BB2220">
          <w:rPr>
            <w:rStyle w:val="Hyperlink"/>
          </w:rPr>
          <w:t>Appendix 1: Regions and water sources</w:t>
        </w:r>
        <w:r w:rsidR="00E00DC7">
          <w:rPr>
            <w:webHidden/>
          </w:rPr>
          <w:tab/>
        </w:r>
        <w:r>
          <w:rPr>
            <w:webHidden/>
          </w:rPr>
          <w:fldChar w:fldCharType="begin"/>
        </w:r>
        <w:r w:rsidR="00E00DC7">
          <w:rPr>
            <w:webHidden/>
          </w:rPr>
          <w:instrText xml:space="preserve"> PAGEREF _Toc441834767 \h </w:instrText>
        </w:r>
        <w:r>
          <w:rPr>
            <w:webHidden/>
          </w:rPr>
        </w:r>
        <w:r>
          <w:rPr>
            <w:webHidden/>
          </w:rPr>
          <w:fldChar w:fldCharType="separate"/>
        </w:r>
        <w:r w:rsidR="00E00DC7">
          <w:rPr>
            <w:webHidden/>
          </w:rPr>
          <w:t>29</w:t>
        </w:r>
        <w:r>
          <w:rPr>
            <w:webHidden/>
          </w:rPr>
          <w:fldChar w:fldCharType="end"/>
        </w:r>
      </w:hyperlink>
    </w:p>
    <w:p w:rsidR="0002454B" w:rsidRDefault="00C23339" w:rsidP="00D60D1E">
      <w:pPr>
        <w:pStyle w:val="TOC1"/>
      </w:pPr>
      <w:r>
        <w:fldChar w:fldCharType="end"/>
      </w:r>
    </w:p>
    <w:p w:rsidR="000F4733" w:rsidRDefault="000F4733" w:rsidP="000D4F20">
      <w:pPr>
        <w:pStyle w:val="Heading1"/>
        <w:sectPr w:rsidR="000F4733" w:rsidSect="0002454B">
          <w:headerReference w:type="default" r:id="rId17"/>
          <w:footerReference w:type="default" r:id="rId18"/>
          <w:pgSz w:w="11906" w:h="16838" w:code="9"/>
          <w:pgMar w:top="1701" w:right="1134" w:bottom="1021" w:left="2268" w:header="680" w:footer="113" w:gutter="0"/>
          <w:cols w:space="708"/>
          <w:docGrid w:linePitch="360"/>
        </w:sectPr>
      </w:pPr>
    </w:p>
    <w:p w:rsidR="00335904" w:rsidRPr="00EE00DE" w:rsidRDefault="00335904" w:rsidP="00EE00DE">
      <w:pPr>
        <w:pStyle w:val="MJAheading1"/>
      </w:pPr>
      <w:bookmarkStart w:id="1" w:name="_Toc441834741"/>
      <w:r w:rsidRPr="00EE00DE">
        <w:t>Introduction</w:t>
      </w:r>
      <w:bookmarkEnd w:id="1"/>
    </w:p>
    <w:p w:rsidR="008749C2" w:rsidRDefault="00335904" w:rsidP="008749C2">
      <w:pPr>
        <w:pStyle w:val="MJAnormal"/>
      </w:pPr>
      <w:r w:rsidRPr="006D71CF">
        <w:t xml:space="preserve">This </w:t>
      </w:r>
      <w:r w:rsidR="004F1321">
        <w:t>Dec</w:t>
      </w:r>
      <w:r w:rsidR="00B76B7E">
        <w:t>ember</w:t>
      </w:r>
      <w:r w:rsidR="004150FB">
        <w:t xml:space="preserve"> </w:t>
      </w:r>
      <w:r>
        <w:t>2015</w:t>
      </w:r>
      <w:r w:rsidRPr="006D71CF">
        <w:t xml:space="preserve"> </w:t>
      </w:r>
      <w:r>
        <w:t>quarter water entitlement</w:t>
      </w:r>
      <w:r>
        <w:rPr>
          <w:rStyle w:val="FootnoteReference"/>
        </w:rPr>
        <w:footnoteReference w:id="1"/>
      </w:r>
      <w:r>
        <w:t xml:space="preserve"> market prices report </w:t>
      </w:r>
      <w:r w:rsidR="000B3E3D">
        <w:t xml:space="preserve">has been </w:t>
      </w:r>
      <w:r w:rsidR="00EE00DE">
        <w:t>prepared</w:t>
      </w:r>
      <w:r>
        <w:t xml:space="preserve"> by Marsden Jacob Associates (Marsden Jacob) for the Australian Government Department of </w:t>
      </w:r>
      <w:r w:rsidR="00AE33C7">
        <w:t>Agriculture and Water Resources</w:t>
      </w:r>
      <w:r>
        <w:t>.</w:t>
      </w:r>
      <w:r w:rsidR="008749C2">
        <w:t xml:space="preserve">  The report includes:</w:t>
      </w:r>
    </w:p>
    <w:p w:rsidR="008749C2" w:rsidRDefault="008749C2" w:rsidP="008749C2">
      <w:pPr>
        <w:pStyle w:val="MJAbulletnormal"/>
      </w:pPr>
      <w:r>
        <w:t>Southern MDB market activity and price information by region and entitlement type (Section 2);</w:t>
      </w:r>
    </w:p>
    <w:p w:rsidR="008749C2" w:rsidRDefault="008749C2" w:rsidP="008749C2">
      <w:pPr>
        <w:pStyle w:val="MJAbulletnormal"/>
      </w:pPr>
      <w:r>
        <w:t>Northern MDB market activity and price information by region and entitlement type (Section 3);</w:t>
      </w:r>
    </w:p>
    <w:p w:rsidR="008749C2" w:rsidRDefault="008749C2" w:rsidP="008749C2">
      <w:pPr>
        <w:pStyle w:val="MJAbulletnormal"/>
      </w:pPr>
      <w:r>
        <w:t>Catchment and water sources list (Appendix 1).</w:t>
      </w:r>
    </w:p>
    <w:p w:rsidR="00DA1C63" w:rsidRDefault="00DA1C63" w:rsidP="00D60D1E">
      <w:pPr>
        <w:pStyle w:val="MJAheading4"/>
      </w:pPr>
      <w:r>
        <w:t>Region, entitlements and key statistics</w:t>
      </w:r>
    </w:p>
    <w:p w:rsidR="00EE00DE" w:rsidRDefault="00EE00DE" w:rsidP="00EE00DE">
      <w:pPr>
        <w:pStyle w:val="MJAnormal"/>
      </w:pPr>
      <w:bookmarkStart w:id="2" w:name="_Ref426380462"/>
      <w:bookmarkStart w:id="3" w:name="_Toc426386558"/>
      <w:r>
        <w:t>The entitlement price report is broadly split into southern and northern Murray-Darling Basin (MDB), as detailed in</w:t>
      </w:r>
      <w:r w:rsidR="0066758D">
        <w:t xml:space="preserve"> </w:t>
      </w:r>
      <w:r w:rsidR="00C23339">
        <w:fldChar w:fldCharType="begin"/>
      </w:r>
      <w:r w:rsidR="0066758D">
        <w:instrText xml:space="preserve"> REF _Ref427185847 \h </w:instrText>
      </w:r>
      <w:r w:rsidR="00C23339">
        <w:fldChar w:fldCharType="separate"/>
      </w:r>
      <w:r w:rsidR="00E00DC7">
        <w:t xml:space="preserve">Table </w:t>
      </w:r>
      <w:r w:rsidR="00E00DC7">
        <w:rPr>
          <w:noProof/>
        </w:rPr>
        <w:t>1</w:t>
      </w:r>
      <w:r w:rsidR="00C23339">
        <w:fldChar w:fldCharType="end"/>
      </w:r>
      <w:r>
        <w:t>.</w:t>
      </w:r>
      <w:r w:rsidRPr="00A3622C">
        <w:t xml:space="preserve"> </w:t>
      </w:r>
      <w:r>
        <w:t xml:space="preserve"> Interactive maps showing the location of these trading regions are available on the Murray-Darling Basin Authority’s website</w:t>
      </w:r>
      <w:r>
        <w:rPr>
          <w:rStyle w:val="FootnoteReference"/>
        </w:rPr>
        <w:footnoteReference w:id="2"/>
      </w:r>
      <w:r w:rsidR="00BE63B0">
        <w:t xml:space="preserve">. The water sources included in each of the regions are listed in </w:t>
      </w:r>
      <w:r w:rsidR="00A976C9">
        <w:t>Appendix 1</w:t>
      </w:r>
      <w:r w:rsidR="00BE63B0">
        <w:t>.</w:t>
      </w:r>
      <w:r>
        <w:t xml:space="preserve"> </w:t>
      </w:r>
    </w:p>
    <w:p w:rsidR="005B5020" w:rsidRDefault="00DA1C63" w:rsidP="00DA1C63">
      <w:pPr>
        <w:pStyle w:val="Caption"/>
      </w:pPr>
      <w:bookmarkStart w:id="4" w:name="_Ref427185847"/>
      <w:r>
        <w:t xml:space="preserve">Table </w:t>
      </w:r>
      <w:r w:rsidR="00C23339">
        <w:fldChar w:fldCharType="begin"/>
      </w:r>
      <w:r w:rsidR="00134558">
        <w:instrText xml:space="preserve"> SEQ Table \* ARABIC </w:instrText>
      </w:r>
      <w:r w:rsidR="00C23339">
        <w:fldChar w:fldCharType="separate"/>
      </w:r>
      <w:r w:rsidR="00E00DC7">
        <w:rPr>
          <w:noProof/>
        </w:rPr>
        <w:t>1</w:t>
      </w:r>
      <w:r w:rsidR="00C23339">
        <w:rPr>
          <w:noProof/>
        </w:rPr>
        <w:fldChar w:fldCharType="end"/>
      </w:r>
      <w:bookmarkEnd w:id="2"/>
      <w:bookmarkEnd w:id="4"/>
      <w:r>
        <w:t>: Regions and entitlement types</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8"/>
        <w:gridCol w:w="2225"/>
        <w:gridCol w:w="2223"/>
        <w:gridCol w:w="2491"/>
      </w:tblGrid>
      <w:tr w:rsidR="00DA1C63" w:rsidRPr="00F75DB0" w:rsidTr="00AC40C8">
        <w:trPr>
          <w:trHeight w:val="667"/>
          <w:tblHeader/>
        </w:trPr>
        <w:tc>
          <w:tcPr>
            <w:tcW w:w="2462" w:type="pct"/>
            <w:gridSpan w:val="2"/>
            <w:tcBorders>
              <w:top w:val="nil"/>
              <w:left w:val="single" w:sz="4" w:space="0" w:color="FFFFFF" w:themeColor="background1"/>
              <w:bottom w:val="nil"/>
              <w:right w:val="single" w:sz="4" w:space="0" w:color="FFFFFF" w:themeColor="background1"/>
            </w:tcBorders>
            <w:shd w:val="clear" w:color="auto" w:fill="0093D0"/>
            <w:vAlign w:val="center"/>
          </w:tcPr>
          <w:p w:rsidR="00DA1C63" w:rsidRPr="00F75DB0" w:rsidRDefault="00DA1C63" w:rsidP="00F75DB0">
            <w:pPr>
              <w:spacing w:after="0" w:line="240" w:lineRule="auto"/>
              <w:jc w:val="center"/>
              <w:rPr>
                <w:rFonts w:cs="Arial"/>
                <w:b/>
                <w:color w:val="FFFFFF"/>
                <w:sz w:val="20"/>
                <w:szCs w:val="20"/>
              </w:rPr>
            </w:pPr>
            <w:r w:rsidRPr="00F75DB0">
              <w:rPr>
                <w:rFonts w:cs="Arial"/>
                <w:b/>
                <w:color w:val="FFFFFF"/>
                <w:sz w:val="20"/>
                <w:szCs w:val="20"/>
              </w:rPr>
              <w:t>Southern MDB</w:t>
            </w:r>
          </w:p>
        </w:tc>
        <w:tc>
          <w:tcPr>
            <w:tcW w:w="2538" w:type="pct"/>
            <w:gridSpan w:val="2"/>
            <w:tcBorders>
              <w:top w:val="nil"/>
              <w:left w:val="single" w:sz="4" w:space="0" w:color="FFFFFF" w:themeColor="background1"/>
              <w:bottom w:val="nil"/>
              <w:right w:val="single" w:sz="4" w:space="0" w:color="FFFFFF" w:themeColor="background1"/>
            </w:tcBorders>
            <w:shd w:val="clear" w:color="auto" w:fill="0093D0"/>
            <w:vAlign w:val="center"/>
          </w:tcPr>
          <w:p w:rsidR="00DA1C63" w:rsidRPr="00F75DB0" w:rsidRDefault="00DA1C63" w:rsidP="00F75DB0">
            <w:pPr>
              <w:spacing w:after="0" w:line="240" w:lineRule="auto"/>
              <w:jc w:val="center"/>
              <w:rPr>
                <w:rFonts w:cs="Arial"/>
                <w:b/>
                <w:color w:val="FFFFFF"/>
                <w:sz w:val="20"/>
                <w:szCs w:val="20"/>
              </w:rPr>
            </w:pPr>
            <w:r w:rsidRPr="00F75DB0">
              <w:rPr>
                <w:rFonts w:cs="Arial"/>
                <w:b/>
                <w:color w:val="FFFFFF"/>
                <w:sz w:val="20"/>
                <w:szCs w:val="20"/>
              </w:rPr>
              <w:t>Northern MDB</w:t>
            </w:r>
          </w:p>
        </w:tc>
      </w:tr>
      <w:tr w:rsidR="004150FB" w:rsidRPr="00F75DB0" w:rsidTr="00AC40C8">
        <w:trPr>
          <w:tblHeader/>
        </w:trPr>
        <w:tc>
          <w:tcPr>
            <w:tcW w:w="1264"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3D0"/>
            <w:vAlign w:val="center"/>
          </w:tcPr>
          <w:p w:rsidR="00DA1C63" w:rsidRPr="00F75DB0" w:rsidRDefault="00DA1C63" w:rsidP="00F75DB0">
            <w:pPr>
              <w:spacing w:after="0" w:line="240" w:lineRule="auto"/>
              <w:rPr>
                <w:rFonts w:cs="Arial"/>
                <w:b/>
                <w:color w:val="FFFFFF"/>
                <w:sz w:val="20"/>
                <w:szCs w:val="20"/>
              </w:rPr>
            </w:pPr>
            <w:r w:rsidRPr="00F75DB0">
              <w:rPr>
                <w:rFonts w:cs="Arial"/>
                <w:b/>
                <w:color w:val="FFFFFF"/>
                <w:sz w:val="20"/>
                <w:szCs w:val="20"/>
              </w:rPr>
              <w:t>Region</w:t>
            </w:r>
          </w:p>
        </w:tc>
        <w:tc>
          <w:tcPr>
            <w:tcW w:w="1198"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3D0"/>
            <w:vAlign w:val="center"/>
          </w:tcPr>
          <w:p w:rsidR="00DA1C63" w:rsidRPr="00F75DB0" w:rsidRDefault="00DA1C63" w:rsidP="00F75DB0">
            <w:pPr>
              <w:spacing w:after="0" w:line="240" w:lineRule="auto"/>
              <w:rPr>
                <w:rFonts w:cs="Arial"/>
                <w:b/>
                <w:color w:val="FFFFFF"/>
                <w:sz w:val="20"/>
                <w:szCs w:val="20"/>
              </w:rPr>
            </w:pPr>
            <w:r w:rsidRPr="00F75DB0">
              <w:rPr>
                <w:rFonts w:cs="Arial"/>
                <w:b/>
                <w:color w:val="FFFFFF"/>
                <w:sz w:val="20"/>
                <w:szCs w:val="20"/>
              </w:rPr>
              <w:t>Entitlement Type</w:t>
            </w:r>
          </w:p>
        </w:tc>
        <w:tc>
          <w:tcPr>
            <w:tcW w:w="1197"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3D0"/>
            <w:vAlign w:val="center"/>
          </w:tcPr>
          <w:p w:rsidR="00DA1C63" w:rsidRPr="00F75DB0" w:rsidRDefault="00DA1C63" w:rsidP="00F75DB0">
            <w:pPr>
              <w:spacing w:after="0" w:line="240" w:lineRule="auto"/>
              <w:rPr>
                <w:rFonts w:cs="Arial"/>
                <w:b/>
                <w:color w:val="FFFFFF"/>
                <w:sz w:val="20"/>
                <w:szCs w:val="20"/>
              </w:rPr>
            </w:pPr>
            <w:r w:rsidRPr="00F75DB0">
              <w:rPr>
                <w:rFonts w:cs="Arial"/>
                <w:b/>
                <w:color w:val="FFFFFF"/>
                <w:sz w:val="20"/>
                <w:szCs w:val="20"/>
              </w:rPr>
              <w:t>Region</w:t>
            </w:r>
          </w:p>
        </w:tc>
        <w:tc>
          <w:tcPr>
            <w:tcW w:w="1341"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3D0"/>
            <w:vAlign w:val="center"/>
          </w:tcPr>
          <w:p w:rsidR="00DA1C63" w:rsidRPr="00F75DB0" w:rsidRDefault="00DA1C63" w:rsidP="00F75DB0">
            <w:pPr>
              <w:spacing w:after="0" w:line="240" w:lineRule="auto"/>
              <w:rPr>
                <w:rFonts w:cs="Arial"/>
                <w:b/>
                <w:color w:val="FFFFFF"/>
                <w:sz w:val="20"/>
                <w:szCs w:val="20"/>
              </w:rPr>
            </w:pPr>
            <w:r w:rsidRPr="00F75DB0">
              <w:rPr>
                <w:rFonts w:cs="Arial"/>
                <w:b/>
                <w:color w:val="FFFFFF"/>
                <w:sz w:val="20"/>
                <w:szCs w:val="20"/>
              </w:rPr>
              <w:t>Entitlement Type</w:t>
            </w:r>
          </w:p>
        </w:tc>
      </w:tr>
      <w:tr w:rsidR="004150FB" w:rsidRPr="00F75DB0" w:rsidTr="00D718C4">
        <w:tc>
          <w:tcPr>
            <w:tcW w:w="1264" w:type="pct"/>
            <w:tcBorders>
              <w:top w:val="single" w:sz="4" w:space="0" w:color="FFFFFF" w:themeColor="background1"/>
              <w:left w:val="nil"/>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SA Murray</w:t>
            </w:r>
          </w:p>
        </w:tc>
        <w:tc>
          <w:tcPr>
            <w:tcW w:w="1198" w:type="pct"/>
            <w:tcBorders>
              <w:top w:val="single" w:sz="4" w:space="0" w:color="FFFFFF" w:themeColor="background1"/>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Class 3a</w:t>
            </w:r>
          </w:p>
        </w:tc>
        <w:tc>
          <w:tcPr>
            <w:tcW w:w="1197" w:type="pct"/>
            <w:tcBorders>
              <w:top w:val="single" w:sz="4" w:space="0" w:color="FFFFFF" w:themeColor="background1"/>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b/>
                <w:sz w:val="18"/>
                <w:szCs w:val="18"/>
              </w:rPr>
              <w:t>Macquarie</w:t>
            </w:r>
          </w:p>
        </w:tc>
        <w:tc>
          <w:tcPr>
            <w:tcW w:w="1341" w:type="pct"/>
            <w:tcBorders>
              <w:top w:val="single" w:sz="4" w:space="0" w:color="FFFFFF" w:themeColor="background1"/>
              <w:left w:val="single" w:sz="4" w:space="0" w:color="0093D0"/>
              <w:bottom w:val="single" w:sz="4" w:space="0" w:color="0093D0"/>
              <w:right w:val="nil"/>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General Security</w:t>
            </w:r>
          </w:p>
        </w:tc>
      </w:tr>
      <w:tr w:rsidR="004150FB" w:rsidRPr="00F75DB0" w:rsidTr="00F75DB0">
        <w:tc>
          <w:tcPr>
            <w:tcW w:w="1264" w:type="pct"/>
            <w:tcBorders>
              <w:top w:val="single" w:sz="4" w:space="0" w:color="0093D0"/>
              <w:left w:val="nil"/>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VIC Murray above Barmah Choke</w:t>
            </w:r>
          </w:p>
        </w:tc>
        <w:tc>
          <w:tcPr>
            <w:tcW w:w="1198"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High Reliability</w:t>
            </w:r>
          </w:p>
        </w:tc>
        <w:tc>
          <w:tcPr>
            <w:tcW w:w="1197"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Namoi</w:t>
            </w:r>
          </w:p>
        </w:tc>
        <w:tc>
          <w:tcPr>
            <w:tcW w:w="1341" w:type="pct"/>
            <w:tcBorders>
              <w:top w:val="single" w:sz="4" w:space="0" w:color="0093D0"/>
              <w:left w:val="single" w:sz="4" w:space="0" w:color="0093D0"/>
              <w:bottom w:val="single" w:sz="4" w:space="0" w:color="0093D0"/>
              <w:right w:val="nil"/>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General Security</w:t>
            </w:r>
          </w:p>
        </w:tc>
      </w:tr>
      <w:tr w:rsidR="004150FB" w:rsidRPr="00F75DB0" w:rsidTr="00F75DB0">
        <w:tc>
          <w:tcPr>
            <w:tcW w:w="1264" w:type="pct"/>
            <w:tcBorders>
              <w:top w:val="single" w:sz="4" w:space="0" w:color="0093D0"/>
              <w:left w:val="nil"/>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VIC Murray above Barmah Choke</w:t>
            </w:r>
          </w:p>
        </w:tc>
        <w:tc>
          <w:tcPr>
            <w:tcW w:w="1198"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Low Reliability</w:t>
            </w:r>
          </w:p>
        </w:tc>
        <w:tc>
          <w:tcPr>
            <w:tcW w:w="1197"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Gwydir</w:t>
            </w:r>
          </w:p>
        </w:tc>
        <w:tc>
          <w:tcPr>
            <w:tcW w:w="1341" w:type="pct"/>
            <w:tcBorders>
              <w:top w:val="single" w:sz="4" w:space="0" w:color="0093D0"/>
              <w:left w:val="single" w:sz="4" w:space="0" w:color="0093D0"/>
              <w:bottom w:val="single" w:sz="4" w:space="0" w:color="0093D0"/>
              <w:right w:val="nil"/>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General Security</w:t>
            </w:r>
          </w:p>
        </w:tc>
      </w:tr>
      <w:tr w:rsidR="004150FB" w:rsidRPr="00F75DB0" w:rsidTr="00F75DB0">
        <w:tc>
          <w:tcPr>
            <w:tcW w:w="1264" w:type="pct"/>
            <w:tcBorders>
              <w:top w:val="single" w:sz="4" w:space="0" w:color="0093D0"/>
              <w:left w:val="nil"/>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Vic Murray below Barmah Choke</w:t>
            </w:r>
          </w:p>
        </w:tc>
        <w:tc>
          <w:tcPr>
            <w:tcW w:w="1198"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High Reliability</w:t>
            </w:r>
          </w:p>
        </w:tc>
        <w:tc>
          <w:tcPr>
            <w:tcW w:w="1197"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NSW Border Rivers</w:t>
            </w:r>
          </w:p>
        </w:tc>
        <w:tc>
          <w:tcPr>
            <w:tcW w:w="1341" w:type="pct"/>
            <w:tcBorders>
              <w:top w:val="single" w:sz="4" w:space="0" w:color="0093D0"/>
              <w:left w:val="single" w:sz="4" w:space="0" w:color="0093D0"/>
              <w:bottom w:val="single" w:sz="4" w:space="0" w:color="0093D0"/>
              <w:right w:val="nil"/>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General Security</w:t>
            </w:r>
          </w:p>
        </w:tc>
      </w:tr>
      <w:tr w:rsidR="004150FB" w:rsidRPr="00F75DB0" w:rsidTr="00F75DB0">
        <w:tc>
          <w:tcPr>
            <w:tcW w:w="1264" w:type="pct"/>
            <w:tcBorders>
              <w:top w:val="single" w:sz="4" w:space="0" w:color="0093D0"/>
              <w:left w:val="nil"/>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Vic Murray below Barmah Choke</w:t>
            </w:r>
          </w:p>
        </w:tc>
        <w:tc>
          <w:tcPr>
            <w:tcW w:w="1198"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Low Reliability</w:t>
            </w:r>
          </w:p>
        </w:tc>
        <w:tc>
          <w:tcPr>
            <w:tcW w:w="1197"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b/>
                <w:sz w:val="18"/>
                <w:szCs w:val="18"/>
              </w:rPr>
              <w:t xml:space="preserve">Barwon Darling </w:t>
            </w:r>
          </w:p>
        </w:tc>
        <w:tc>
          <w:tcPr>
            <w:tcW w:w="1341" w:type="pct"/>
            <w:tcBorders>
              <w:top w:val="single" w:sz="4" w:space="0" w:color="0093D0"/>
              <w:left w:val="single" w:sz="4" w:space="0" w:color="0093D0"/>
              <w:bottom w:val="single" w:sz="4" w:space="0" w:color="0093D0"/>
              <w:right w:val="nil"/>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Unregulated</w:t>
            </w:r>
          </w:p>
        </w:tc>
      </w:tr>
      <w:tr w:rsidR="004150FB" w:rsidRPr="00F75DB0" w:rsidTr="00F75DB0">
        <w:tc>
          <w:tcPr>
            <w:tcW w:w="1264" w:type="pct"/>
            <w:tcBorders>
              <w:top w:val="single" w:sz="4" w:space="0" w:color="0093D0"/>
              <w:left w:val="nil"/>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Goulburn</w:t>
            </w:r>
          </w:p>
        </w:tc>
        <w:tc>
          <w:tcPr>
            <w:tcW w:w="1198"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High Reliability</w:t>
            </w:r>
          </w:p>
        </w:tc>
        <w:tc>
          <w:tcPr>
            <w:tcW w:w="1197"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Lachlan</w:t>
            </w:r>
          </w:p>
        </w:tc>
        <w:tc>
          <w:tcPr>
            <w:tcW w:w="1341" w:type="pct"/>
            <w:tcBorders>
              <w:top w:val="single" w:sz="4" w:space="0" w:color="0093D0"/>
              <w:left w:val="single" w:sz="4" w:space="0" w:color="0093D0"/>
              <w:bottom w:val="single" w:sz="4" w:space="0" w:color="0093D0"/>
              <w:right w:val="nil"/>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General Security</w:t>
            </w:r>
          </w:p>
        </w:tc>
      </w:tr>
      <w:tr w:rsidR="004150FB" w:rsidRPr="00F75DB0" w:rsidTr="00F75DB0">
        <w:tc>
          <w:tcPr>
            <w:tcW w:w="1264" w:type="pct"/>
            <w:tcBorders>
              <w:top w:val="single" w:sz="4" w:space="0" w:color="0093D0"/>
              <w:left w:val="nil"/>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Goulburn</w:t>
            </w:r>
          </w:p>
        </w:tc>
        <w:tc>
          <w:tcPr>
            <w:tcW w:w="1198"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Low Reliability</w:t>
            </w:r>
          </w:p>
        </w:tc>
        <w:tc>
          <w:tcPr>
            <w:tcW w:w="1197"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Condamine Balonne (St George)</w:t>
            </w:r>
          </w:p>
        </w:tc>
        <w:tc>
          <w:tcPr>
            <w:tcW w:w="1341" w:type="pct"/>
            <w:tcBorders>
              <w:top w:val="single" w:sz="4" w:space="0" w:color="0093D0"/>
              <w:left w:val="single" w:sz="4" w:space="0" w:color="0093D0"/>
              <w:bottom w:val="single" w:sz="4" w:space="0" w:color="0093D0"/>
              <w:right w:val="nil"/>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Supplemented</w:t>
            </w:r>
          </w:p>
        </w:tc>
      </w:tr>
      <w:tr w:rsidR="004150FB" w:rsidRPr="00F75DB0" w:rsidTr="00F75DB0">
        <w:tc>
          <w:tcPr>
            <w:tcW w:w="1264" w:type="pct"/>
            <w:tcBorders>
              <w:top w:val="single" w:sz="4" w:space="0" w:color="0093D0"/>
              <w:left w:val="nil"/>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Campaspe</w:t>
            </w:r>
          </w:p>
        </w:tc>
        <w:tc>
          <w:tcPr>
            <w:tcW w:w="1198"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High Reliability</w:t>
            </w:r>
          </w:p>
        </w:tc>
        <w:tc>
          <w:tcPr>
            <w:tcW w:w="1197"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b/>
                <w:sz w:val="18"/>
                <w:szCs w:val="18"/>
              </w:rPr>
              <w:t>Condamine Balonne (Upper Condamine and Lower Balonne)</w:t>
            </w:r>
          </w:p>
        </w:tc>
        <w:tc>
          <w:tcPr>
            <w:tcW w:w="1341" w:type="pct"/>
            <w:tcBorders>
              <w:top w:val="single" w:sz="4" w:space="0" w:color="0093D0"/>
              <w:left w:val="single" w:sz="4" w:space="0" w:color="0093D0"/>
              <w:bottom w:val="single" w:sz="4" w:space="0" w:color="0093D0"/>
              <w:right w:val="nil"/>
            </w:tcBorders>
            <w:vAlign w:val="center"/>
          </w:tcPr>
          <w:p w:rsidR="00EE00DE" w:rsidRPr="00F75DB0" w:rsidRDefault="00EE00DE" w:rsidP="00F75DB0">
            <w:pPr>
              <w:spacing w:before="20" w:after="20" w:line="240" w:lineRule="auto"/>
              <w:rPr>
                <w:rFonts w:cs="Arial"/>
                <w:sz w:val="18"/>
                <w:szCs w:val="18"/>
              </w:rPr>
            </w:pPr>
            <w:proofErr w:type="spellStart"/>
            <w:r w:rsidRPr="00F75DB0">
              <w:rPr>
                <w:rFonts w:cs="Arial"/>
                <w:sz w:val="18"/>
                <w:szCs w:val="18"/>
              </w:rPr>
              <w:t>Unsupplemented</w:t>
            </w:r>
            <w:proofErr w:type="spellEnd"/>
          </w:p>
        </w:tc>
      </w:tr>
      <w:tr w:rsidR="004150FB" w:rsidRPr="00F75DB0" w:rsidTr="00F75DB0">
        <w:tc>
          <w:tcPr>
            <w:tcW w:w="1264" w:type="pct"/>
            <w:tcBorders>
              <w:top w:val="single" w:sz="4" w:space="0" w:color="0093D0"/>
              <w:left w:val="nil"/>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Campaspe</w:t>
            </w:r>
          </w:p>
        </w:tc>
        <w:tc>
          <w:tcPr>
            <w:tcW w:w="1198"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Low Reliability</w:t>
            </w:r>
          </w:p>
        </w:tc>
        <w:tc>
          <w:tcPr>
            <w:tcW w:w="1197"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b/>
                <w:sz w:val="18"/>
                <w:szCs w:val="18"/>
              </w:rPr>
              <w:t>Upper Condamine Alluvium Groundwater (1, 2, 3 and 4)</w:t>
            </w:r>
          </w:p>
        </w:tc>
        <w:tc>
          <w:tcPr>
            <w:tcW w:w="1341" w:type="pct"/>
            <w:tcBorders>
              <w:top w:val="single" w:sz="4" w:space="0" w:color="0093D0"/>
              <w:left w:val="single" w:sz="4" w:space="0" w:color="0093D0"/>
              <w:bottom w:val="single" w:sz="4" w:space="0" w:color="0093D0"/>
              <w:right w:val="nil"/>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 xml:space="preserve">Groundwater </w:t>
            </w:r>
          </w:p>
          <w:p w:rsidR="00EE00DE" w:rsidRPr="00F75DB0" w:rsidRDefault="00EE00DE" w:rsidP="00F75DB0">
            <w:pPr>
              <w:spacing w:before="20" w:after="20" w:line="240" w:lineRule="auto"/>
              <w:rPr>
                <w:rFonts w:cs="Arial"/>
                <w:sz w:val="18"/>
                <w:szCs w:val="18"/>
              </w:rPr>
            </w:pPr>
            <w:r w:rsidRPr="00F75DB0">
              <w:rPr>
                <w:rFonts w:cs="Arial"/>
                <w:sz w:val="18"/>
                <w:szCs w:val="18"/>
              </w:rPr>
              <w:t>(Sub Areas 1, 2, 3 and 4)</w:t>
            </w:r>
          </w:p>
        </w:tc>
      </w:tr>
      <w:tr w:rsidR="004150FB" w:rsidRPr="00F75DB0" w:rsidTr="00F75DB0">
        <w:tc>
          <w:tcPr>
            <w:tcW w:w="1264" w:type="pct"/>
            <w:tcBorders>
              <w:top w:val="single" w:sz="4" w:space="0" w:color="0093D0"/>
              <w:left w:val="nil"/>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Loddon</w:t>
            </w:r>
          </w:p>
        </w:tc>
        <w:tc>
          <w:tcPr>
            <w:tcW w:w="1198"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High Reliability</w:t>
            </w:r>
          </w:p>
        </w:tc>
        <w:tc>
          <w:tcPr>
            <w:tcW w:w="1197"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b/>
                <w:sz w:val="18"/>
                <w:szCs w:val="18"/>
              </w:rPr>
              <w:t>QLD Border Rivers</w:t>
            </w:r>
          </w:p>
        </w:tc>
        <w:tc>
          <w:tcPr>
            <w:tcW w:w="1341" w:type="pct"/>
            <w:tcBorders>
              <w:top w:val="single" w:sz="4" w:space="0" w:color="0093D0"/>
              <w:left w:val="single" w:sz="4" w:space="0" w:color="0093D0"/>
              <w:bottom w:val="single" w:sz="4" w:space="0" w:color="0093D0"/>
              <w:right w:val="nil"/>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Supplemented</w:t>
            </w:r>
          </w:p>
        </w:tc>
      </w:tr>
      <w:tr w:rsidR="004150FB" w:rsidRPr="00F75DB0" w:rsidTr="00F75DB0">
        <w:tc>
          <w:tcPr>
            <w:tcW w:w="1264" w:type="pct"/>
            <w:tcBorders>
              <w:top w:val="single" w:sz="4" w:space="0" w:color="0093D0"/>
              <w:left w:val="nil"/>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NSW Murray</w:t>
            </w:r>
          </w:p>
        </w:tc>
        <w:tc>
          <w:tcPr>
            <w:tcW w:w="1198"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General Security</w:t>
            </w:r>
          </w:p>
        </w:tc>
        <w:tc>
          <w:tcPr>
            <w:tcW w:w="1197"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QLD Border Rivers</w:t>
            </w:r>
          </w:p>
        </w:tc>
        <w:tc>
          <w:tcPr>
            <w:tcW w:w="1341" w:type="pct"/>
            <w:tcBorders>
              <w:top w:val="single" w:sz="4" w:space="0" w:color="0093D0"/>
              <w:left w:val="single" w:sz="4" w:space="0" w:color="0093D0"/>
              <w:bottom w:val="single" w:sz="4" w:space="0" w:color="0093D0"/>
              <w:right w:val="nil"/>
            </w:tcBorders>
            <w:vAlign w:val="center"/>
          </w:tcPr>
          <w:p w:rsidR="00EE00DE" w:rsidRPr="00F75DB0" w:rsidRDefault="00EE00DE" w:rsidP="00F75DB0">
            <w:pPr>
              <w:spacing w:before="20" w:after="20" w:line="240" w:lineRule="auto"/>
              <w:rPr>
                <w:rFonts w:cs="Arial"/>
                <w:sz w:val="18"/>
                <w:szCs w:val="18"/>
              </w:rPr>
            </w:pPr>
            <w:proofErr w:type="spellStart"/>
            <w:r w:rsidRPr="00F75DB0">
              <w:rPr>
                <w:rFonts w:cs="Arial"/>
                <w:sz w:val="18"/>
                <w:szCs w:val="18"/>
              </w:rPr>
              <w:t>Unsupplemented</w:t>
            </w:r>
            <w:proofErr w:type="spellEnd"/>
          </w:p>
        </w:tc>
      </w:tr>
      <w:tr w:rsidR="004150FB" w:rsidRPr="00F75DB0" w:rsidTr="00F75DB0">
        <w:tc>
          <w:tcPr>
            <w:tcW w:w="1264" w:type="pct"/>
            <w:tcBorders>
              <w:top w:val="single" w:sz="4" w:space="0" w:color="0093D0"/>
              <w:left w:val="nil"/>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NSW Murray</w:t>
            </w:r>
          </w:p>
        </w:tc>
        <w:tc>
          <w:tcPr>
            <w:tcW w:w="1198"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High Security</w:t>
            </w:r>
          </w:p>
        </w:tc>
        <w:tc>
          <w:tcPr>
            <w:tcW w:w="1197"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Lower Balonne</w:t>
            </w:r>
          </w:p>
        </w:tc>
        <w:tc>
          <w:tcPr>
            <w:tcW w:w="1341" w:type="pct"/>
            <w:tcBorders>
              <w:top w:val="single" w:sz="4" w:space="0" w:color="0093D0"/>
              <w:left w:val="single" w:sz="4" w:space="0" w:color="0093D0"/>
              <w:bottom w:val="single" w:sz="4" w:space="0" w:color="0093D0"/>
              <w:right w:val="nil"/>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Overland Flow</w:t>
            </w:r>
          </w:p>
        </w:tc>
      </w:tr>
      <w:tr w:rsidR="004150FB" w:rsidRPr="00F75DB0" w:rsidTr="00F75DB0">
        <w:tc>
          <w:tcPr>
            <w:tcW w:w="1264" w:type="pct"/>
            <w:tcBorders>
              <w:top w:val="single" w:sz="4" w:space="0" w:color="0093D0"/>
              <w:left w:val="nil"/>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NSW Murray Irrigation Limited</w:t>
            </w:r>
          </w:p>
        </w:tc>
        <w:tc>
          <w:tcPr>
            <w:tcW w:w="1198"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General Security</w:t>
            </w:r>
          </w:p>
        </w:tc>
        <w:tc>
          <w:tcPr>
            <w:tcW w:w="1197"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p>
        </w:tc>
        <w:tc>
          <w:tcPr>
            <w:tcW w:w="1341" w:type="pct"/>
            <w:tcBorders>
              <w:top w:val="single" w:sz="4" w:space="0" w:color="0093D0"/>
              <w:left w:val="single" w:sz="4" w:space="0" w:color="0093D0"/>
              <w:bottom w:val="single" w:sz="4" w:space="0" w:color="0093D0"/>
              <w:right w:val="nil"/>
            </w:tcBorders>
            <w:vAlign w:val="center"/>
          </w:tcPr>
          <w:p w:rsidR="00EE00DE" w:rsidRPr="00F75DB0" w:rsidRDefault="00EE00DE" w:rsidP="00F75DB0">
            <w:pPr>
              <w:spacing w:before="20" w:after="20" w:line="240" w:lineRule="auto"/>
              <w:rPr>
                <w:rFonts w:cs="Arial"/>
                <w:sz w:val="18"/>
                <w:szCs w:val="18"/>
              </w:rPr>
            </w:pPr>
          </w:p>
        </w:tc>
      </w:tr>
      <w:tr w:rsidR="004150FB" w:rsidRPr="00F75DB0" w:rsidTr="00F75DB0">
        <w:tc>
          <w:tcPr>
            <w:tcW w:w="1264" w:type="pct"/>
            <w:tcBorders>
              <w:top w:val="single" w:sz="4" w:space="0" w:color="0093D0"/>
              <w:left w:val="nil"/>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Murrumbidgee</w:t>
            </w:r>
          </w:p>
        </w:tc>
        <w:tc>
          <w:tcPr>
            <w:tcW w:w="1198"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General Security</w:t>
            </w:r>
          </w:p>
        </w:tc>
        <w:tc>
          <w:tcPr>
            <w:tcW w:w="1197"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p>
        </w:tc>
        <w:tc>
          <w:tcPr>
            <w:tcW w:w="1341" w:type="pct"/>
            <w:tcBorders>
              <w:top w:val="single" w:sz="4" w:space="0" w:color="0093D0"/>
              <w:left w:val="single" w:sz="4" w:space="0" w:color="0093D0"/>
              <w:bottom w:val="single" w:sz="4" w:space="0" w:color="0093D0"/>
              <w:right w:val="nil"/>
            </w:tcBorders>
            <w:vAlign w:val="center"/>
          </w:tcPr>
          <w:p w:rsidR="00EE00DE" w:rsidRPr="00F75DB0" w:rsidRDefault="00EE00DE" w:rsidP="00F75DB0">
            <w:pPr>
              <w:spacing w:before="20" w:after="20" w:line="240" w:lineRule="auto"/>
              <w:rPr>
                <w:rFonts w:cs="Arial"/>
                <w:sz w:val="18"/>
                <w:szCs w:val="18"/>
              </w:rPr>
            </w:pPr>
          </w:p>
        </w:tc>
      </w:tr>
      <w:tr w:rsidR="004150FB" w:rsidRPr="00F75DB0" w:rsidTr="00F75DB0">
        <w:tc>
          <w:tcPr>
            <w:tcW w:w="1264" w:type="pct"/>
            <w:tcBorders>
              <w:top w:val="single" w:sz="4" w:space="0" w:color="0093D0"/>
              <w:left w:val="nil"/>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Murrumbidgee</w:t>
            </w:r>
          </w:p>
        </w:tc>
        <w:tc>
          <w:tcPr>
            <w:tcW w:w="1198"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High Security</w:t>
            </w:r>
          </w:p>
        </w:tc>
        <w:tc>
          <w:tcPr>
            <w:tcW w:w="1197"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p>
        </w:tc>
        <w:tc>
          <w:tcPr>
            <w:tcW w:w="1341" w:type="pct"/>
            <w:tcBorders>
              <w:top w:val="single" w:sz="4" w:space="0" w:color="0093D0"/>
              <w:left w:val="single" w:sz="4" w:space="0" w:color="0093D0"/>
              <w:bottom w:val="single" w:sz="4" w:space="0" w:color="0093D0"/>
              <w:right w:val="nil"/>
            </w:tcBorders>
            <w:vAlign w:val="center"/>
          </w:tcPr>
          <w:p w:rsidR="00EE00DE" w:rsidRPr="00F75DB0" w:rsidRDefault="00EE00DE" w:rsidP="00F75DB0">
            <w:pPr>
              <w:spacing w:before="20" w:after="20" w:line="240" w:lineRule="auto"/>
              <w:rPr>
                <w:rFonts w:cs="Arial"/>
                <w:sz w:val="18"/>
                <w:szCs w:val="18"/>
              </w:rPr>
            </w:pPr>
          </w:p>
        </w:tc>
      </w:tr>
      <w:tr w:rsidR="004150FB" w:rsidRPr="00F75DB0" w:rsidTr="00F75DB0">
        <w:tc>
          <w:tcPr>
            <w:tcW w:w="1264" w:type="pct"/>
            <w:tcBorders>
              <w:top w:val="single" w:sz="4" w:space="0" w:color="0093D0"/>
              <w:left w:val="nil"/>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Lower Darling</w:t>
            </w:r>
          </w:p>
        </w:tc>
        <w:tc>
          <w:tcPr>
            <w:tcW w:w="1198"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General Security</w:t>
            </w:r>
          </w:p>
        </w:tc>
        <w:tc>
          <w:tcPr>
            <w:tcW w:w="1197"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p>
        </w:tc>
        <w:tc>
          <w:tcPr>
            <w:tcW w:w="1341" w:type="pct"/>
            <w:tcBorders>
              <w:top w:val="single" w:sz="4" w:space="0" w:color="0093D0"/>
              <w:left w:val="single" w:sz="4" w:space="0" w:color="0093D0"/>
              <w:bottom w:val="single" w:sz="4" w:space="0" w:color="0093D0"/>
              <w:right w:val="nil"/>
            </w:tcBorders>
            <w:vAlign w:val="center"/>
          </w:tcPr>
          <w:p w:rsidR="00EE00DE" w:rsidRPr="00F75DB0" w:rsidRDefault="00EE00DE" w:rsidP="00F75DB0">
            <w:pPr>
              <w:spacing w:before="20" w:after="20" w:line="240" w:lineRule="auto"/>
              <w:rPr>
                <w:rFonts w:cs="Arial"/>
                <w:sz w:val="18"/>
                <w:szCs w:val="18"/>
              </w:rPr>
            </w:pPr>
          </w:p>
        </w:tc>
      </w:tr>
      <w:tr w:rsidR="004150FB" w:rsidRPr="00F75DB0" w:rsidTr="00F75DB0">
        <w:tc>
          <w:tcPr>
            <w:tcW w:w="1264" w:type="pct"/>
            <w:tcBorders>
              <w:top w:val="single" w:sz="4" w:space="0" w:color="0093D0"/>
              <w:left w:val="nil"/>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r w:rsidRPr="00F75DB0">
              <w:rPr>
                <w:rFonts w:cs="Arial"/>
                <w:b/>
                <w:sz w:val="18"/>
                <w:szCs w:val="18"/>
              </w:rPr>
              <w:t>Lower Darling</w:t>
            </w:r>
          </w:p>
        </w:tc>
        <w:tc>
          <w:tcPr>
            <w:tcW w:w="1198"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sz w:val="18"/>
                <w:szCs w:val="18"/>
              </w:rPr>
            </w:pPr>
            <w:r w:rsidRPr="00F75DB0">
              <w:rPr>
                <w:rFonts w:cs="Arial"/>
                <w:sz w:val="18"/>
                <w:szCs w:val="18"/>
              </w:rPr>
              <w:t>High Security</w:t>
            </w:r>
          </w:p>
        </w:tc>
        <w:tc>
          <w:tcPr>
            <w:tcW w:w="1197" w:type="pct"/>
            <w:tcBorders>
              <w:top w:val="single" w:sz="4" w:space="0" w:color="0093D0"/>
              <w:left w:val="single" w:sz="4" w:space="0" w:color="0093D0"/>
              <w:bottom w:val="single" w:sz="4" w:space="0" w:color="0093D0"/>
              <w:right w:val="single" w:sz="4" w:space="0" w:color="0093D0"/>
            </w:tcBorders>
            <w:vAlign w:val="center"/>
          </w:tcPr>
          <w:p w:rsidR="00EE00DE" w:rsidRPr="00F75DB0" w:rsidRDefault="00EE00DE" w:rsidP="00F75DB0">
            <w:pPr>
              <w:spacing w:before="20" w:after="20" w:line="240" w:lineRule="auto"/>
              <w:rPr>
                <w:rFonts w:cs="Arial"/>
                <w:b/>
                <w:sz w:val="18"/>
                <w:szCs w:val="18"/>
              </w:rPr>
            </w:pPr>
          </w:p>
        </w:tc>
        <w:tc>
          <w:tcPr>
            <w:tcW w:w="1341" w:type="pct"/>
            <w:tcBorders>
              <w:top w:val="single" w:sz="4" w:space="0" w:color="0093D0"/>
              <w:left w:val="single" w:sz="4" w:space="0" w:color="0093D0"/>
              <w:bottom w:val="single" w:sz="4" w:space="0" w:color="0093D0"/>
              <w:right w:val="nil"/>
            </w:tcBorders>
            <w:vAlign w:val="center"/>
          </w:tcPr>
          <w:p w:rsidR="00EE00DE" w:rsidRPr="00F75DB0" w:rsidRDefault="00EE00DE" w:rsidP="00F75DB0">
            <w:pPr>
              <w:spacing w:before="20" w:after="20" w:line="240" w:lineRule="auto"/>
              <w:rPr>
                <w:rFonts w:cs="Arial"/>
                <w:sz w:val="18"/>
                <w:szCs w:val="18"/>
              </w:rPr>
            </w:pPr>
          </w:p>
        </w:tc>
      </w:tr>
    </w:tbl>
    <w:p w:rsidR="00335904" w:rsidRDefault="00EE00DE" w:rsidP="003A4303">
      <w:pPr>
        <w:pStyle w:val="MJAnormal"/>
      </w:pPr>
      <w:r>
        <w:t>As requested by the Department, f</w:t>
      </w:r>
      <w:r w:rsidR="005B5020">
        <w:t xml:space="preserve">or each of the </w:t>
      </w:r>
      <w:r w:rsidR="00DA1C63">
        <w:t xml:space="preserve">regions and </w:t>
      </w:r>
      <w:r w:rsidR="005B5020">
        <w:t>water entitlement categories Marsden Jacob reports a range of measures, subject to data availability</w:t>
      </w:r>
      <w:r w:rsidR="0089365A">
        <w:t xml:space="preserve"> and the number of trades</w:t>
      </w:r>
      <w:r w:rsidR="005B5020">
        <w:t>:</w:t>
      </w:r>
    </w:p>
    <w:p w:rsidR="00335904" w:rsidRDefault="00335904" w:rsidP="003A4303">
      <w:pPr>
        <w:pStyle w:val="MJAbulletnormal"/>
      </w:pPr>
      <w:r>
        <w:t xml:space="preserve">volume </w:t>
      </w:r>
      <w:r w:rsidR="005B5020">
        <w:t>weighted average prices (VWAP);</w:t>
      </w:r>
    </w:p>
    <w:p w:rsidR="005B5020" w:rsidRDefault="005B5020" w:rsidP="003A4303">
      <w:pPr>
        <w:pStyle w:val="MJAbulletnormal"/>
      </w:pPr>
      <w:r>
        <w:t>median price;</w:t>
      </w:r>
    </w:p>
    <w:p w:rsidR="005B5020" w:rsidRDefault="005B5020" w:rsidP="003A4303">
      <w:pPr>
        <w:pStyle w:val="MJAbulletnormal"/>
      </w:pPr>
      <w:r>
        <w:t>mean price;</w:t>
      </w:r>
    </w:p>
    <w:p w:rsidR="005B5020" w:rsidRDefault="005B5020" w:rsidP="003A4303">
      <w:pPr>
        <w:pStyle w:val="MJAbulletnormal"/>
      </w:pPr>
      <w:r>
        <w:t>mode price;</w:t>
      </w:r>
    </w:p>
    <w:p w:rsidR="001C087A" w:rsidRDefault="005B5020" w:rsidP="003A4303">
      <w:pPr>
        <w:pStyle w:val="MJAbulletnormal"/>
      </w:pPr>
      <w:r>
        <w:t>percentile price 25</w:t>
      </w:r>
      <w:r w:rsidRPr="005B5020">
        <w:rPr>
          <w:vertAlign w:val="superscript"/>
        </w:rPr>
        <w:t>th</w:t>
      </w:r>
      <w:r>
        <w:t xml:space="preserve"> and 75</w:t>
      </w:r>
      <w:r w:rsidRPr="005B5020">
        <w:rPr>
          <w:vertAlign w:val="superscript"/>
        </w:rPr>
        <w:t>th</w:t>
      </w:r>
      <w:r w:rsidR="00116B5E">
        <w:t>;</w:t>
      </w:r>
    </w:p>
    <w:p w:rsidR="00116B5E" w:rsidRDefault="00116B5E" w:rsidP="003A4303">
      <w:pPr>
        <w:pStyle w:val="MJAbulletnormal"/>
      </w:pPr>
      <w:r>
        <w:t>price quintiles;</w:t>
      </w:r>
    </w:p>
    <w:p w:rsidR="005B5020" w:rsidRDefault="005B5020" w:rsidP="003A4303">
      <w:pPr>
        <w:pStyle w:val="MJAbulletnormal"/>
      </w:pPr>
      <w:r>
        <w:t>trade volume;</w:t>
      </w:r>
    </w:p>
    <w:p w:rsidR="005B5020" w:rsidRDefault="005B5020" w:rsidP="003A4303">
      <w:pPr>
        <w:pStyle w:val="MJAbulletnormal"/>
      </w:pPr>
      <w:r>
        <w:t>number of trades; and</w:t>
      </w:r>
    </w:p>
    <w:p w:rsidR="005B5020" w:rsidRDefault="005B5020" w:rsidP="003A4303">
      <w:pPr>
        <w:pStyle w:val="MJAbulletnormal"/>
      </w:pPr>
      <w:proofErr w:type="gramStart"/>
      <w:r>
        <w:t>water</w:t>
      </w:r>
      <w:proofErr w:type="gramEnd"/>
      <w:r>
        <w:t xml:space="preserve"> trading exchange prices.</w:t>
      </w:r>
    </w:p>
    <w:p w:rsidR="00EE00DE" w:rsidRDefault="00EE00DE" w:rsidP="00EE00DE">
      <w:pPr>
        <w:pStyle w:val="MJAheading4"/>
      </w:pPr>
      <w:r>
        <w:t>Data sources</w:t>
      </w:r>
    </w:p>
    <w:p w:rsidR="00EE00DE" w:rsidRDefault="00EE00DE" w:rsidP="00EE00DE">
      <w:pPr>
        <w:pStyle w:val="MJAnormal"/>
      </w:pPr>
      <w:r>
        <w:t>The data sources for this report are:</w:t>
      </w:r>
    </w:p>
    <w:p w:rsidR="00EE00DE" w:rsidRPr="003A4303" w:rsidRDefault="00EE00DE" w:rsidP="00EE00DE">
      <w:pPr>
        <w:pStyle w:val="MJAbulletnormal"/>
      </w:pPr>
      <w:r w:rsidRPr="003A4303">
        <w:t>National Water Market Register data, up to 3</w:t>
      </w:r>
      <w:r w:rsidR="00AE33C7">
        <w:t>1</w:t>
      </w:r>
      <w:r w:rsidRPr="003A4303">
        <w:t xml:space="preserve"> </w:t>
      </w:r>
      <w:r w:rsidR="00AE33C7">
        <w:t>December</w:t>
      </w:r>
      <w:r w:rsidRPr="003A4303">
        <w:t xml:space="preserve"> 201</w:t>
      </w:r>
      <w:r w:rsidR="00AE33C7">
        <w:t>3</w:t>
      </w:r>
      <w:r w:rsidRPr="003A4303">
        <w:t>;</w:t>
      </w:r>
    </w:p>
    <w:p w:rsidR="007E3BFB" w:rsidRDefault="00EE00DE" w:rsidP="00EE00DE">
      <w:pPr>
        <w:pStyle w:val="MJAbulletnormal"/>
      </w:pPr>
      <w:r w:rsidRPr="003A4303">
        <w:t>State Governmen</w:t>
      </w:r>
      <w:r>
        <w:t>t water registers and websites;</w:t>
      </w:r>
      <w:r w:rsidR="00EB706B">
        <w:t xml:space="preserve"> </w:t>
      </w:r>
      <w:r w:rsidR="00AE33C7">
        <w:t>and</w:t>
      </w:r>
    </w:p>
    <w:p w:rsidR="00EE00DE" w:rsidRDefault="00EE00DE" w:rsidP="00EE00DE">
      <w:pPr>
        <w:pStyle w:val="MJAbulletnormal"/>
      </w:pPr>
      <w:r w:rsidRPr="003A4303">
        <w:t>Water exchange and broker noticeboard prices</w:t>
      </w:r>
      <w:r w:rsidR="00AE33C7">
        <w:t>.</w:t>
      </w:r>
      <w:r w:rsidR="007E3BFB">
        <w:t xml:space="preserve"> </w:t>
      </w:r>
    </w:p>
    <w:p w:rsidR="00EE00DE" w:rsidRDefault="00EE00DE" w:rsidP="00EE00DE">
      <w:pPr>
        <w:pStyle w:val="MJAheading4"/>
      </w:pPr>
      <w:r>
        <w:t>Notes</w:t>
      </w:r>
    </w:p>
    <w:p w:rsidR="00EE00DE" w:rsidRDefault="00EE00DE" w:rsidP="00EE00DE">
      <w:pPr>
        <w:pStyle w:val="MJAnormal"/>
      </w:pPr>
      <w:r>
        <w:t xml:space="preserve">Entitlement prices in the State Government water registers can lag the exchange date of contracts or the </w:t>
      </w:r>
      <w:r w:rsidRPr="00726BEF">
        <w:t>water sale agreement by</w:t>
      </w:r>
      <w:r>
        <w:t xml:space="preserve"> periods of days to</w:t>
      </w:r>
      <w:r w:rsidRPr="00726BEF">
        <w:t xml:space="preserve"> several months</w:t>
      </w:r>
      <w:r w:rsidR="00CC6DE0">
        <w:t>.</w:t>
      </w:r>
      <w:r>
        <w:t xml:space="preserve"> </w:t>
      </w:r>
      <w:r w:rsidR="00CC6DE0">
        <w:t>T</w:t>
      </w:r>
      <w:r>
        <w:t xml:space="preserve">his means the entitlement prices shown in the monthly and quarterly VWAPs may not reflect exchanges during the month.  </w:t>
      </w:r>
    </w:p>
    <w:p w:rsidR="00116B5E" w:rsidRPr="00696759" w:rsidRDefault="00116B5E" w:rsidP="00116B5E">
      <w:pPr>
        <w:pStyle w:val="MJAnormal"/>
      </w:pPr>
      <w:r w:rsidRPr="00696759">
        <w:t xml:space="preserve">Entitlement prices that do not </w:t>
      </w:r>
      <w:r>
        <w:t xml:space="preserve">appear to </w:t>
      </w:r>
      <w:r w:rsidRPr="00696759">
        <w:t>reflect arms-length transactions</w:t>
      </w:r>
      <w:r>
        <w:t xml:space="preserve"> </w:t>
      </w:r>
      <w:r w:rsidRPr="00696759">
        <w:t>have</w:t>
      </w:r>
      <w:r>
        <w:t xml:space="preserve"> </w:t>
      </w:r>
      <w:r w:rsidRPr="00696759">
        <w:t xml:space="preserve">been excluded in the data cleaning process.  Removing these values reduces price distortions in </w:t>
      </w:r>
      <w:r w:rsidR="00AC40C8">
        <w:t>the</w:t>
      </w:r>
      <w:r w:rsidRPr="00696759">
        <w:t xml:space="preserve"> reporting.  This means prices in this report may differ from prices shown in registers where these transactions have not been removed.</w:t>
      </w:r>
    </w:p>
    <w:p w:rsidR="00116B5E" w:rsidRPr="00696759" w:rsidRDefault="00116B5E" w:rsidP="00116B5E">
      <w:pPr>
        <w:pStyle w:val="MJAnormal"/>
      </w:pPr>
      <w:r w:rsidRPr="00696759">
        <w:t>Marsden Jacob uses a two stage process to clean the data</w:t>
      </w:r>
      <w:r>
        <w:t xml:space="preserve">, which is based on the approach used by </w:t>
      </w:r>
      <w:r w:rsidR="004055D8">
        <w:t>the Australian Bureau of Agricultural and Resource Economics</w:t>
      </w:r>
      <w:r w:rsidR="007E3BFB">
        <w:t xml:space="preserve"> and Sciences</w:t>
      </w:r>
      <w:r w:rsidR="004055D8">
        <w:t xml:space="preserve"> (</w:t>
      </w:r>
      <w:r>
        <w:t>ABARES</w:t>
      </w:r>
      <w:r w:rsidR="004055D8">
        <w:t>)</w:t>
      </w:r>
      <w:r>
        <w:t xml:space="preserve"> and the former National Water Commission (NWC)</w:t>
      </w:r>
      <w:r w:rsidRPr="00696759">
        <w:t>:</w:t>
      </w:r>
    </w:p>
    <w:p w:rsidR="00116B5E" w:rsidRPr="00696759" w:rsidRDefault="00116B5E" w:rsidP="00116B5E">
      <w:pPr>
        <w:pStyle w:val="ListParagraph"/>
        <w:numPr>
          <w:ilvl w:val="0"/>
          <w:numId w:val="14"/>
        </w:numPr>
        <w:spacing w:after="200"/>
        <w:ind w:left="426"/>
        <w:rPr>
          <w:rFonts w:asciiTheme="minorHAnsi" w:hAnsiTheme="minorHAnsi"/>
        </w:rPr>
      </w:pPr>
      <w:r w:rsidRPr="00696759">
        <w:rPr>
          <w:rFonts w:asciiTheme="minorHAnsi" w:hAnsiTheme="minorHAnsi"/>
        </w:rPr>
        <w:t>Removing prices that may not be genuine, e.g. removing transactions where the price was reported to be null ($0</w:t>
      </w:r>
      <w:r w:rsidRPr="00696759">
        <w:rPr>
          <w:rFonts w:asciiTheme="minorHAnsi" w:eastAsia="Times New Roman" w:hAnsiTheme="minorHAnsi"/>
        </w:rPr>
        <w:t xml:space="preserve"> per </w:t>
      </w:r>
      <w:r w:rsidRPr="00696759">
        <w:rPr>
          <w:rFonts w:asciiTheme="minorHAnsi" w:hAnsiTheme="minorHAnsi"/>
        </w:rPr>
        <w:t>ML)</w:t>
      </w:r>
      <w:r w:rsidRPr="00696759">
        <w:rPr>
          <w:rFonts w:asciiTheme="minorHAnsi" w:eastAsia="Times New Roman" w:hAnsiTheme="minorHAnsi"/>
        </w:rPr>
        <w:t>;</w:t>
      </w:r>
      <w:r w:rsidR="006463B7">
        <w:rPr>
          <w:rFonts w:asciiTheme="minorHAnsi" w:eastAsia="Times New Roman" w:hAnsiTheme="minorHAnsi"/>
        </w:rPr>
        <w:t xml:space="preserve"> </w:t>
      </w:r>
      <w:r w:rsidRPr="00696759">
        <w:rPr>
          <w:rFonts w:asciiTheme="minorHAnsi" w:hAnsiTheme="minorHAnsi"/>
        </w:rPr>
        <w:t>and</w:t>
      </w:r>
    </w:p>
    <w:p w:rsidR="00116B5E" w:rsidRPr="00696759" w:rsidRDefault="00116B5E" w:rsidP="00116B5E">
      <w:pPr>
        <w:pStyle w:val="ListParagraph"/>
        <w:numPr>
          <w:ilvl w:val="0"/>
          <w:numId w:val="14"/>
        </w:numPr>
        <w:spacing w:after="200"/>
        <w:ind w:left="426"/>
        <w:rPr>
          <w:rFonts w:asciiTheme="minorHAnsi" w:hAnsiTheme="minorHAnsi"/>
        </w:rPr>
      </w:pPr>
      <w:r>
        <w:rPr>
          <w:rFonts w:asciiTheme="minorHAnsi" w:hAnsiTheme="minorHAnsi"/>
        </w:rPr>
        <w:t>Reviewing and potentially removing</w:t>
      </w:r>
      <w:r w:rsidRPr="00696759">
        <w:rPr>
          <w:rFonts w:asciiTheme="minorHAnsi" w:hAnsiTheme="minorHAnsi"/>
        </w:rPr>
        <w:t xml:space="preserve"> transactions outside two standard deviations from the average price of water entitlements by </w:t>
      </w:r>
      <w:r w:rsidR="00AC40C8">
        <w:rPr>
          <w:rFonts w:asciiTheme="minorHAnsi" w:hAnsiTheme="minorHAnsi"/>
        </w:rPr>
        <w:t>region</w:t>
      </w:r>
      <w:r w:rsidRPr="00696759">
        <w:rPr>
          <w:rFonts w:asciiTheme="minorHAnsi" w:hAnsiTheme="minorHAnsi"/>
        </w:rPr>
        <w:t xml:space="preserve"> (or trading zone) and by water product. </w:t>
      </w:r>
    </w:p>
    <w:p w:rsidR="00E32429" w:rsidRDefault="00116B5E">
      <w:r>
        <w:rPr>
          <w:rFonts w:eastAsia="Times New Roman"/>
        </w:rPr>
        <w:t xml:space="preserve">Marsden Jacob does not necessarily remove all trades that fall outside two standard </w:t>
      </w:r>
      <w:r w:rsidRPr="00696759">
        <w:rPr>
          <w:rFonts w:eastAsia="Times New Roman"/>
        </w:rPr>
        <w:t>deviation</w:t>
      </w:r>
      <w:r>
        <w:rPr>
          <w:rFonts w:eastAsia="Times New Roman"/>
        </w:rPr>
        <w:t>s</w:t>
      </w:r>
      <w:r w:rsidRPr="00696759">
        <w:rPr>
          <w:rFonts w:eastAsia="Times New Roman"/>
        </w:rPr>
        <w:t xml:space="preserve"> as </w:t>
      </w:r>
      <w:r w:rsidR="008749C2">
        <w:rPr>
          <w:rFonts w:eastAsia="Times New Roman"/>
        </w:rPr>
        <w:t>some of these reflect</w:t>
      </w:r>
      <w:r w:rsidRPr="00696759">
        <w:rPr>
          <w:rFonts w:eastAsia="Times New Roman"/>
        </w:rPr>
        <w:t xml:space="preserve"> arms-length trades. </w:t>
      </w:r>
      <w:r w:rsidR="00EB706B">
        <w:rPr>
          <w:rFonts w:eastAsia="Times New Roman"/>
        </w:rPr>
        <w:t xml:space="preserve"> </w:t>
      </w:r>
      <w:r>
        <w:t xml:space="preserve">If trades which fall outside two standard deviations are retained in the regional dataset this is noted in the </w:t>
      </w:r>
      <w:r w:rsidR="008749C2">
        <w:t>region and entitlement specific reports</w:t>
      </w:r>
      <w:r>
        <w:t>.</w:t>
      </w:r>
      <w:r w:rsidR="00EB706B">
        <w:t xml:space="preserve"> </w:t>
      </w:r>
    </w:p>
    <w:p w:rsidR="00B16691" w:rsidRDefault="00B16691">
      <w:pPr>
        <w:rPr>
          <w:rFonts w:ascii="Times New Roman" w:eastAsia="Times New Roman" w:hAnsi="Times New Roman"/>
        </w:rPr>
      </w:pPr>
      <w:r>
        <w:br w:type="page"/>
      </w:r>
    </w:p>
    <w:p w:rsidR="004847DC" w:rsidRPr="00EE00DE" w:rsidRDefault="004847DC" w:rsidP="00EE00DE">
      <w:pPr>
        <w:pStyle w:val="MJAheading1"/>
      </w:pPr>
      <w:bookmarkStart w:id="5" w:name="_Toc441834742"/>
      <w:r w:rsidRPr="00EE00DE">
        <w:t>Southern Murray-Darling Basin</w:t>
      </w:r>
      <w:bookmarkEnd w:id="5"/>
    </w:p>
    <w:p w:rsidR="004847DC" w:rsidRDefault="004847DC" w:rsidP="004847DC">
      <w:pPr>
        <w:pStyle w:val="Caption"/>
      </w:pPr>
      <w:bookmarkStart w:id="6" w:name="_Toc426386615"/>
      <w:r>
        <w:t xml:space="preserve">Figure </w:t>
      </w:r>
      <w:r w:rsidR="00C23339">
        <w:fldChar w:fldCharType="begin"/>
      </w:r>
      <w:r w:rsidR="00134558">
        <w:instrText xml:space="preserve"> SEQ Figure \* ARABIC </w:instrText>
      </w:r>
      <w:r w:rsidR="00C23339">
        <w:fldChar w:fldCharType="separate"/>
      </w:r>
      <w:r w:rsidR="00E00DC7">
        <w:rPr>
          <w:noProof/>
        </w:rPr>
        <w:t>1</w:t>
      </w:r>
      <w:r w:rsidR="00C23339">
        <w:rPr>
          <w:noProof/>
        </w:rPr>
        <w:fldChar w:fldCharType="end"/>
      </w:r>
      <w:r>
        <w:t>: Price correlation in the Southern Basin: High Security</w:t>
      </w:r>
      <w:r w:rsidR="00D60D1E">
        <w:t xml:space="preserve"> </w:t>
      </w:r>
      <w:r>
        <w:t>/</w:t>
      </w:r>
      <w:r w:rsidR="00D60D1E">
        <w:t xml:space="preserve"> </w:t>
      </w:r>
      <w:r>
        <w:t>Reliability</w:t>
      </w:r>
      <w:r w:rsidR="00D60D1E">
        <w:t xml:space="preserve"> </w:t>
      </w:r>
      <w:r>
        <w:t>/</w:t>
      </w:r>
      <w:r w:rsidR="00D60D1E">
        <w:t xml:space="preserve"> </w:t>
      </w:r>
      <w:r w:rsidR="00EE00DE">
        <w:t xml:space="preserve">Class </w:t>
      </w:r>
      <w:r>
        <w:t>3a</w:t>
      </w:r>
      <w:bookmarkEnd w:id="6"/>
    </w:p>
    <w:p w:rsidR="00723017" w:rsidRPr="00723017" w:rsidRDefault="00723017" w:rsidP="00723017">
      <w:pPr>
        <w:pStyle w:val="MJAnormal"/>
      </w:pPr>
      <w:r>
        <w:rPr>
          <w:noProof/>
          <w:lang w:eastAsia="en-AU"/>
        </w:rPr>
        <w:drawing>
          <wp:inline distT="0" distB="0" distL="0" distR="0">
            <wp:extent cx="5256000" cy="34743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000" cy="3474368"/>
                    </a:xfrm>
                    <a:prstGeom prst="rect">
                      <a:avLst/>
                    </a:prstGeom>
                    <a:noFill/>
                  </pic:spPr>
                </pic:pic>
              </a:graphicData>
            </a:graphic>
          </wp:inline>
        </w:drawing>
      </w:r>
    </w:p>
    <w:p w:rsidR="004847DC" w:rsidRPr="00B76B7E" w:rsidRDefault="004847DC" w:rsidP="00B76B7E">
      <w:pPr>
        <w:pStyle w:val="MJAsource"/>
      </w:pPr>
      <w:r w:rsidRPr="00B76B7E">
        <w:t>Source: Marsden Jacob analysis, 201</w:t>
      </w:r>
      <w:r w:rsidR="002F5EE4">
        <w:t>6</w:t>
      </w:r>
    </w:p>
    <w:p w:rsidR="004847DC" w:rsidRDefault="004847DC" w:rsidP="004847DC">
      <w:pPr>
        <w:pStyle w:val="Caption"/>
      </w:pPr>
      <w:bookmarkStart w:id="7" w:name="_Toc426386616"/>
      <w:r>
        <w:t xml:space="preserve">Figure </w:t>
      </w:r>
      <w:r w:rsidR="00C23339">
        <w:fldChar w:fldCharType="begin"/>
      </w:r>
      <w:r w:rsidR="00134558">
        <w:instrText xml:space="preserve"> SEQ Figure \* ARABIC </w:instrText>
      </w:r>
      <w:r w:rsidR="00C23339">
        <w:fldChar w:fldCharType="separate"/>
      </w:r>
      <w:r w:rsidR="00E00DC7">
        <w:rPr>
          <w:noProof/>
        </w:rPr>
        <w:t>2</w:t>
      </w:r>
      <w:r w:rsidR="00C23339">
        <w:rPr>
          <w:noProof/>
        </w:rPr>
        <w:fldChar w:fldCharType="end"/>
      </w:r>
      <w:r>
        <w:t xml:space="preserve">: Price correlation in the Southern Basin: </w:t>
      </w:r>
      <w:r w:rsidR="00D60D1E">
        <w:t>General</w:t>
      </w:r>
      <w:r>
        <w:t xml:space="preserve"> Security</w:t>
      </w:r>
      <w:r w:rsidR="00D60D1E">
        <w:t xml:space="preserve"> </w:t>
      </w:r>
      <w:r>
        <w:t>/</w:t>
      </w:r>
      <w:r w:rsidR="00D60D1E">
        <w:t xml:space="preserve"> Low </w:t>
      </w:r>
      <w:r>
        <w:t>Reliability</w:t>
      </w:r>
      <w:bookmarkEnd w:id="7"/>
    </w:p>
    <w:p w:rsidR="00723017" w:rsidRPr="00723017" w:rsidRDefault="00723017" w:rsidP="00723017">
      <w:pPr>
        <w:pStyle w:val="MJAnormal"/>
      </w:pPr>
      <w:r>
        <w:rPr>
          <w:noProof/>
          <w:lang w:eastAsia="en-AU"/>
        </w:rPr>
        <w:drawing>
          <wp:inline distT="0" distB="0" distL="0" distR="0">
            <wp:extent cx="5256000" cy="35087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000" cy="3508799"/>
                    </a:xfrm>
                    <a:prstGeom prst="rect">
                      <a:avLst/>
                    </a:prstGeom>
                    <a:noFill/>
                  </pic:spPr>
                </pic:pic>
              </a:graphicData>
            </a:graphic>
          </wp:inline>
        </w:drawing>
      </w:r>
    </w:p>
    <w:p w:rsidR="006463B7" w:rsidRDefault="004847DC" w:rsidP="008136D8">
      <w:pPr>
        <w:pStyle w:val="MJAsource"/>
      </w:pPr>
      <w:r>
        <w:t>Source: Marsden Jacob analysis, 201</w:t>
      </w:r>
      <w:r w:rsidR="002F5EE4">
        <w:t>6</w:t>
      </w:r>
    </w:p>
    <w:p w:rsidR="004847DC" w:rsidRPr="00DC3F94" w:rsidRDefault="006463B7" w:rsidP="008136D8">
      <w:pPr>
        <w:pStyle w:val="MJAsource"/>
      </w:pPr>
      <w:r>
        <w:t>Note: Where possible, zero values have been interpolated in these charts so they differ slightly from the region and entitlement specific charts.</w:t>
      </w:r>
      <w:r w:rsidR="004847DC">
        <w:br w:type="page"/>
      </w:r>
    </w:p>
    <w:p w:rsidR="00EE00DE" w:rsidRPr="004847DC" w:rsidRDefault="00C638AD" w:rsidP="00EE00DE">
      <w:pPr>
        <w:pStyle w:val="MJAheading2"/>
      </w:pPr>
      <w:bookmarkStart w:id="8" w:name="_Toc441834743"/>
      <w:r>
        <w:t>S</w:t>
      </w:r>
      <w:r w:rsidR="00EE00DE" w:rsidRPr="004847DC">
        <w:t>A Murray: Class 3a</w:t>
      </w:r>
      <w:bookmarkEnd w:id="8"/>
    </w:p>
    <w:p w:rsidR="00EE00DE" w:rsidRDefault="00EE00DE" w:rsidP="00EE00DE">
      <w:pPr>
        <w:pStyle w:val="Caption"/>
      </w:pPr>
      <w:bookmarkStart w:id="9" w:name="_Toc426386647"/>
      <w:r>
        <w:t xml:space="preserve">Figure </w:t>
      </w:r>
      <w:r w:rsidR="00C23339">
        <w:fldChar w:fldCharType="begin"/>
      </w:r>
      <w:r w:rsidR="00134558">
        <w:instrText xml:space="preserve"> SEQ Figure \* ARABIC </w:instrText>
      </w:r>
      <w:r w:rsidR="00C23339">
        <w:fldChar w:fldCharType="separate"/>
      </w:r>
      <w:r w:rsidR="00E00DC7">
        <w:rPr>
          <w:noProof/>
        </w:rPr>
        <w:t>3</w:t>
      </w:r>
      <w:r w:rsidR="00C23339">
        <w:rPr>
          <w:noProof/>
        </w:rPr>
        <w:fldChar w:fldCharType="end"/>
      </w:r>
      <w:r>
        <w:t>: Entitlement market prices and volumes</w:t>
      </w:r>
      <w:bookmarkEnd w:id="9"/>
    </w:p>
    <w:p w:rsidR="00723017" w:rsidRPr="00723017" w:rsidRDefault="00723017" w:rsidP="00723017">
      <w:pPr>
        <w:pStyle w:val="MJAnormal"/>
      </w:pPr>
      <w:r>
        <w:rPr>
          <w:noProof/>
          <w:lang w:eastAsia="en-AU"/>
        </w:rPr>
        <w:drawing>
          <wp:inline distT="0" distB="0" distL="0" distR="0">
            <wp:extent cx="5760000" cy="27905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EE00DE" w:rsidRPr="003A4303" w:rsidRDefault="00EE00DE" w:rsidP="00EE00DE">
      <w:pPr>
        <w:pStyle w:val="MJAnormal"/>
      </w:pPr>
    </w:p>
    <w:p w:rsidR="00EE00DE" w:rsidRDefault="00EE00DE" w:rsidP="00EE00DE">
      <w:pPr>
        <w:pStyle w:val="Caption"/>
      </w:pPr>
      <w:bookmarkStart w:id="10" w:name="_Toc426386589"/>
      <w:r>
        <w:t xml:space="preserve">Table </w:t>
      </w:r>
      <w:r w:rsidR="00C23339">
        <w:fldChar w:fldCharType="begin"/>
      </w:r>
      <w:r w:rsidR="00134558">
        <w:instrText xml:space="preserve"> SEQ Table \* ARABIC </w:instrText>
      </w:r>
      <w:r w:rsidR="00C23339">
        <w:fldChar w:fldCharType="separate"/>
      </w:r>
      <w:r w:rsidR="00E00DC7">
        <w:rPr>
          <w:noProof/>
        </w:rPr>
        <w:t>2</w:t>
      </w:r>
      <w:r w:rsidR="00C23339">
        <w:rPr>
          <w:noProof/>
        </w:rPr>
        <w:fldChar w:fldCharType="end"/>
      </w:r>
      <w:r>
        <w:t>: Entitlement market prices and volumes</w:t>
      </w:r>
      <w:bookmarkEnd w:id="10"/>
    </w:p>
    <w:tbl>
      <w:tblPr>
        <w:tblW w:w="5000" w:type="pct"/>
        <w:tblCellMar>
          <w:left w:w="28" w:type="dxa"/>
          <w:right w:w="28" w:type="dxa"/>
        </w:tblCellMar>
        <w:tblLook w:val="04A0"/>
      </w:tblPr>
      <w:tblGrid>
        <w:gridCol w:w="881"/>
        <w:gridCol w:w="917"/>
        <w:gridCol w:w="876"/>
        <w:gridCol w:w="750"/>
        <w:gridCol w:w="750"/>
        <w:gridCol w:w="750"/>
        <w:gridCol w:w="750"/>
        <w:gridCol w:w="759"/>
        <w:gridCol w:w="856"/>
        <w:gridCol w:w="856"/>
        <w:gridCol w:w="982"/>
      </w:tblGrid>
      <w:tr w:rsidR="00505F1C" w:rsidRPr="00147005" w:rsidTr="00723017">
        <w:trPr>
          <w:trHeight w:val="525"/>
        </w:trPr>
        <w:tc>
          <w:tcPr>
            <w:tcW w:w="1464" w:type="pct"/>
            <w:gridSpan w:val="3"/>
            <w:tcBorders>
              <w:top w:val="nil"/>
              <w:left w:val="nil"/>
              <w:bottom w:val="nil"/>
              <w:right w:val="nil"/>
            </w:tcBorders>
            <w:shd w:val="clear" w:color="000000" w:fill="0093D0"/>
            <w:noWrap/>
            <w:vAlign w:val="center"/>
            <w:hideMark/>
          </w:tcPr>
          <w:p w:rsidR="00505F1C" w:rsidRPr="00147005" w:rsidRDefault="00505F1C" w:rsidP="00B76B7E">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59" w:type="pct"/>
            <w:gridSpan w:val="5"/>
            <w:tcBorders>
              <w:top w:val="nil"/>
              <w:left w:val="single" w:sz="4" w:space="0" w:color="C5D9F1"/>
              <w:bottom w:val="nil"/>
              <w:right w:val="single" w:sz="4" w:space="0" w:color="C5D9F1"/>
            </w:tcBorders>
            <w:shd w:val="clear" w:color="000000" w:fill="0093D0"/>
            <w:noWrap/>
            <w:vAlign w:val="center"/>
            <w:hideMark/>
          </w:tcPr>
          <w:p w:rsidR="00505F1C" w:rsidRPr="00147005" w:rsidRDefault="004F1321" w:rsidP="00B76B7E">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505F1C" w:rsidRPr="00147005">
              <w:rPr>
                <w:rFonts w:eastAsia="Times New Roman"/>
                <w:b/>
                <w:bCs/>
                <w:color w:val="FFFFFF"/>
                <w:sz w:val="16"/>
                <w:szCs w:val="20"/>
                <w:lang w:eastAsia="en-AU"/>
              </w:rPr>
              <w:t xml:space="preserve"> 2015 Quarter (in $/ML)</w:t>
            </w:r>
          </w:p>
        </w:tc>
        <w:tc>
          <w:tcPr>
            <w:tcW w:w="469" w:type="pct"/>
            <w:vMerge w:val="restart"/>
            <w:tcBorders>
              <w:top w:val="nil"/>
              <w:left w:val="single" w:sz="4" w:space="0" w:color="C5D9F1"/>
              <w:right w:val="nil"/>
            </w:tcBorders>
            <w:shd w:val="clear" w:color="000000" w:fill="0093D0"/>
            <w:vAlign w:val="center"/>
            <w:hideMark/>
          </w:tcPr>
          <w:p w:rsidR="00505F1C" w:rsidRPr="00147005" w:rsidRDefault="004F1321" w:rsidP="00B76B7E">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B76B7E">
              <w:rPr>
                <w:rFonts w:eastAsia="Times New Roman"/>
                <w:b/>
                <w:bCs/>
                <w:color w:val="FFFFFF"/>
                <w:sz w:val="16"/>
                <w:szCs w:val="20"/>
                <w:lang w:eastAsia="en-AU"/>
              </w:rPr>
              <w:t xml:space="preserve"> </w:t>
            </w:r>
            <w:r w:rsidR="00505F1C" w:rsidRPr="00147005">
              <w:rPr>
                <w:rFonts w:eastAsia="Times New Roman"/>
                <w:b/>
                <w:bCs/>
                <w:color w:val="FFFFFF"/>
                <w:sz w:val="16"/>
                <w:szCs w:val="20"/>
                <w:lang w:eastAsia="en-AU"/>
              </w:rPr>
              <w:t>2015 Quarter Volume</w:t>
            </w:r>
            <w:r w:rsidR="00C418FD">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rsidR="00505F1C" w:rsidRPr="00147005" w:rsidRDefault="004F1321" w:rsidP="00B76B7E">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505F1C" w:rsidRPr="00147005">
              <w:rPr>
                <w:rFonts w:eastAsia="Times New Roman"/>
                <w:b/>
                <w:bCs/>
                <w:color w:val="FFFFFF"/>
                <w:sz w:val="16"/>
                <w:szCs w:val="20"/>
                <w:lang w:eastAsia="en-AU"/>
              </w:rPr>
              <w:t xml:space="preserve"> 2015 Quarter # of trades</w:t>
            </w:r>
          </w:p>
        </w:tc>
        <w:tc>
          <w:tcPr>
            <w:tcW w:w="539" w:type="pct"/>
            <w:vMerge w:val="restart"/>
            <w:tcBorders>
              <w:top w:val="nil"/>
              <w:left w:val="nil"/>
              <w:right w:val="nil"/>
            </w:tcBorders>
            <w:shd w:val="clear" w:color="000000" w:fill="0093D0"/>
            <w:vAlign w:val="center"/>
          </w:tcPr>
          <w:p w:rsidR="00505F1C" w:rsidRPr="00147005" w:rsidRDefault="00505F1C" w:rsidP="00B76B7E">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F501FF" w:rsidRPr="00147005" w:rsidTr="00B76B7E">
        <w:trPr>
          <w:trHeight w:val="230"/>
        </w:trPr>
        <w:tc>
          <w:tcPr>
            <w:tcW w:w="482" w:type="pct"/>
            <w:tcBorders>
              <w:top w:val="nil"/>
              <w:left w:val="nil"/>
              <w:bottom w:val="nil"/>
              <w:right w:val="nil"/>
            </w:tcBorders>
            <w:shd w:val="clear" w:color="000000" w:fill="0093D0"/>
            <w:vAlign w:val="center"/>
            <w:hideMark/>
          </w:tcPr>
          <w:p w:rsidR="00505F1C" w:rsidRPr="00147005" w:rsidRDefault="00505F1C" w:rsidP="00B76B7E">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502" w:type="pct"/>
            <w:tcBorders>
              <w:top w:val="nil"/>
              <w:left w:val="nil"/>
              <w:bottom w:val="nil"/>
              <w:right w:val="nil"/>
            </w:tcBorders>
            <w:shd w:val="clear" w:color="000000" w:fill="0093D0"/>
            <w:vAlign w:val="center"/>
            <w:hideMark/>
          </w:tcPr>
          <w:p w:rsidR="00505F1C" w:rsidRPr="00147005" w:rsidRDefault="004F1321" w:rsidP="00B76B7E">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505F1C" w:rsidRPr="00147005">
              <w:rPr>
                <w:rFonts w:eastAsia="Times New Roman"/>
                <w:b/>
                <w:bCs/>
                <w:color w:val="FFFFFF"/>
                <w:sz w:val="16"/>
                <w:szCs w:val="20"/>
                <w:lang w:eastAsia="en-AU"/>
              </w:rPr>
              <w:t xml:space="preserve"> 2015 Quarter</w:t>
            </w:r>
          </w:p>
        </w:tc>
        <w:tc>
          <w:tcPr>
            <w:tcW w:w="479" w:type="pct"/>
            <w:tcBorders>
              <w:top w:val="nil"/>
              <w:left w:val="nil"/>
              <w:bottom w:val="nil"/>
              <w:right w:val="nil"/>
            </w:tcBorders>
            <w:shd w:val="clear" w:color="000000" w:fill="0093D0"/>
            <w:vAlign w:val="center"/>
            <w:hideMark/>
          </w:tcPr>
          <w:p w:rsidR="00505F1C" w:rsidRPr="00147005" w:rsidRDefault="00505F1C" w:rsidP="00B76B7E">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rsidR="00505F1C" w:rsidRPr="00147005" w:rsidRDefault="00E873CF" w:rsidP="00B76B7E">
            <w:pPr>
              <w:spacing w:before="40" w:after="4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00505F1C"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rsidR="00505F1C" w:rsidRPr="00147005" w:rsidRDefault="00505F1C" w:rsidP="00B76B7E">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00E873CF" w:rsidRPr="00E873CF">
              <w:rPr>
                <w:rFonts w:eastAsia="Times New Roman"/>
                <w:b/>
                <w:bCs/>
                <w:color w:val="FFFFFF"/>
                <w:sz w:val="16"/>
                <w:szCs w:val="20"/>
                <w:vertAlign w:val="superscript"/>
                <w:lang w:eastAsia="en-AU"/>
              </w:rPr>
              <w:t>th</w:t>
            </w:r>
            <w:r w:rsidR="00E873CF">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rsidR="00505F1C" w:rsidRPr="00147005" w:rsidRDefault="00505F1C" w:rsidP="00B76B7E">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rsidR="00505F1C" w:rsidRPr="00147005" w:rsidRDefault="00505F1C" w:rsidP="00B76B7E">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6" w:type="pct"/>
            <w:tcBorders>
              <w:top w:val="nil"/>
              <w:left w:val="nil"/>
              <w:bottom w:val="nil"/>
              <w:right w:val="single" w:sz="4" w:space="0" w:color="C5D9F1"/>
            </w:tcBorders>
            <w:shd w:val="clear" w:color="000000" w:fill="0093D0"/>
            <w:vAlign w:val="center"/>
            <w:hideMark/>
          </w:tcPr>
          <w:p w:rsidR="00505F1C" w:rsidRPr="00147005" w:rsidRDefault="00505F1C" w:rsidP="00B76B7E">
            <w:pPr>
              <w:spacing w:before="40" w:after="4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rsidR="00505F1C" w:rsidRPr="00147005" w:rsidRDefault="00505F1C" w:rsidP="00B76B7E">
            <w:pPr>
              <w:spacing w:before="40" w:after="4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rsidR="00505F1C" w:rsidRPr="00147005" w:rsidRDefault="00505F1C" w:rsidP="00B76B7E">
            <w:pPr>
              <w:spacing w:before="40" w:after="40" w:line="240" w:lineRule="auto"/>
              <w:rPr>
                <w:rFonts w:eastAsia="Times New Roman"/>
                <w:b/>
                <w:bCs/>
                <w:color w:val="FFFFFF"/>
                <w:sz w:val="16"/>
                <w:szCs w:val="20"/>
                <w:lang w:eastAsia="en-AU"/>
              </w:rPr>
            </w:pPr>
          </w:p>
        </w:tc>
        <w:tc>
          <w:tcPr>
            <w:tcW w:w="541" w:type="pct"/>
            <w:vMerge/>
            <w:tcBorders>
              <w:left w:val="nil"/>
              <w:bottom w:val="nil"/>
              <w:right w:val="nil"/>
            </w:tcBorders>
          </w:tcPr>
          <w:p w:rsidR="00505F1C" w:rsidRPr="00147005" w:rsidRDefault="00505F1C" w:rsidP="00B76B7E">
            <w:pPr>
              <w:spacing w:before="40" w:after="40" w:line="240" w:lineRule="auto"/>
              <w:rPr>
                <w:rFonts w:eastAsia="Times New Roman"/>
                <w:b/>
                <w:bCs/>
                <w:color w:val="FFFFFF"/>
                <w:sz w:val="16"/>
                <w:szCs w:val="20"/>
                <w:lang w:eastAsia="en-AU"/>
              </w:rPr>
            </w:pPr>
          </w:p>
        </w:tc>
      </w:tr>
      <w:tr w:rsidR="00723017" w:rsidRPr="00147005" w:rsidTr="00723017">
        <w:trPr>
          <w:trHeight w:val="555"/>
        </w:trPr>
        <w:tc>
          <w:tcPr>
            <w:tcW w:w="482" w:type="pct"/>
            <w:tcBorders>
              <w:top w:val="nil"/>
              <w:left w:val="nil"/>
              <w:bottom w:val="single" w:sz="4" w:space="0" w:color="0093D0"/>
              <w:right w:val="nil"/>
            </w:tcBorders>
            <w:shd w:val="clear" w:color="auto" w:fill="auto"/>
            <w:noWrap/>
            <w:vAlign w:val="center"/>
            <w:hideMark/>
          </w:tcPr>
          <w:p w:rsidR="00723017" w:rsidRPr="00723017" w:rsidRDefault="00723017" w:rsidP="00723017">
            <w:pPr>
              <w:spacing w:after="0" w:line="240" w:lineRule="auto"/>
              <w:jc w:val="center"/>
              <w:rPr>
                <w:rFonts w:eastAsia="Times New Roman"/>
                <w:b/>
                <w:bCs/>
                <w:color w:val="000000"/>
                <w:sz w:val="16"/>
                <w:szCs w:val="20"/>
                <w:lang w:eastAsia="en-AU"/>
              </w:rPr>
            </w:pPr>
            <w:r w:rsidRPr="00723017">
              <w:rPr>
                <w:rFonts w:eastAsia="Times New Roman"/>
                <w:b/>
                <w:bCs/>
                <w:color w:val="000000"/>
                <w:sz w:val="16"/>
                <w:szCs w:val="20"/>
                <w:lang w:eastAsia="en-AU"/>
              </w:rPr>
              <w:t>2,189</w:t>
            </w:r>
          </w:p>
        </w:tc>
        <w:tc>
          <w:tcPr>
            <w:tcW w:w="502" w:type="pct"/>
            <w:tcBorders>
              <w:top w:val="nil"/>
              <w:left w:val="nil"/>
              <w:bottom w:val="single" w:sz="4" w:space="0" w:color="0093D0"/>
              <w:right w:val="nil"/>
            </w:tcBorders>
            <w:shd w:val="clear" w:color="auto" w:fill="auto"/>
            <w:noWrap/>
            <w:vAlign w:val="center"/>
            <w:hideMark/>
          </w:tcPr>
          <w:p w:rsidR="00723017" w:rsidRPr="00723017" w:rsidRDefault="00723017" w:rsidP="00723017">
            <w:pPr>
              <w:spacing w:after="0" w:line="240" w:lineRule="auto"/>
              <w:jc w:val="center"/>
              <w:rPr>
                <w:rFonts w:eastAsia="Times New Roman"/>
                <w:b/>
                <w:bCs/>
                <w:color w:val="000000"/>
                <w:sz w:val="16"/>
                <w:szCs w:val="20"/>
                <w:lang w:eastAsia="en-AU"/>
              </w:rPr>
            </w:pPr>
            <w:r w:rsidRPr="00723017">
              <w:rPr>
                <w:rFonts w:eastAsia="Times New Roman"/>
                <w:b/>
                <w:bCs/>
                <w:color w:val="000000"/>
                <w:sz w:val="16"/>
                <w:szCs w:val="20"/>
                <w:lang w:eastAsia="en-AU"/>
              </w:rPr>
              <w:t>1,945</w:t>
            </w:r>
          </w:p>
        </w:tc>
        <w:tc>
          <w:tcPr>
            <w:tcW w:w="479" w:type="pct"/>
            <w:tcBorders>
              <w:top w:val="nil"/>
              <w:left w:val="nil"/>
              <w:bottom w:val="single" w:sz="4" w:space="0" w:color="0093D0"/>
              <w:right w:val="nil"/>
            </w:tcBorders>
            <w:shd w:val="clear" w:color="auto" w:fill="auto"/>
            <w:noWrap/>
            <w:vAlign w:val="center"/>
            <w:hideMark/>
          </w:tcPr>
          <w:p w:rsidR="00723017" w:rsidRPr="00723017" w:rsidRDefault="00723017" w:rsidP="00723017">
            <w:pPr>
              <w:spacing w:after="0" w:line="240" w:lineRule="auto"/>
              <w:jc w:val="center"/>
              <w:rPr>
                <w:rFonts w:eastAsia="Times New Roman"/>
                <w:b/>
                <w:bCs/>
                <w:color w:val="000000"/>
                <w:sz w:val="16"/>
                <w:szCs w:val="20"/>
                <w:lang w:eastAsia="en-AU"/>
              </w:rPr>
            </w:pPr>
            <w:r w:rsidRPr="00723017">
              <w:rPr>
                <w:rFonts w:eastAsia="Times New Roman"/>
                <w:b/>
                <w:bCs/>
                <w:color w:val="000000"/>
                <w:sz w:val="16"/>
                <w:szCs w:val="20"/>
                <w:lang w:eastAsia="en-AU"/>
              </w:rPr>
              <w:t>1,916</w:t>
            </w:r>
          </w:p>
        </w:tc>
        <w:tc>
          <w:tcPr>
            <w:tcW w:w="411" w:type="pct"/>
            <w:tcBorders>
              <w:top w:val="nil"/>
              <w:left w:val="nil"/>
              <w:bottom w:val="single" w:sz="4" w:space="0" w:color="0093D0"/>
              <w:right w:val="nil"/>
            </w:tcBorders>
            <w:shd w:val="clear" w:color="auto" w:fill="auto"/>
            <w:noWrap/>
            <w:vAlign w:val="center"/>
            <w:hideMark/>
          </w:tcPr>
          <w:p w:rsidR="00723017" w:rsidRPr="00723017" w:rsidRDefault="00723017" w:rsidP="00723017">
            <w:pPr>
              <w:spacing w:after="0" w:line="240" w:lineRule="auto"/>
              <w:jc w:val="center"/>
              <w:rPr>
                <w:rFonts w:eastAsia="Times New Roman"/>
                <w:b/>
                <w:bCs/>
                <w:color w:val="000000"/>
                <w:sz w:val="16"/>
                <w:szCs w:val="20"/>
                <w:lang w:eastAsia="en-AU"/>
              </w:rPr>
            </w:pPr>
            <w:r w:rsidRPr="00723017">
              <w:rPr>
                <w:rFonts w:eastAsia="Times New Roman"/>
                <w:b/>
                <w:bCs/>
                <w:color w:val="000000"/>
                <w:sz w:val="16"/>
                <w:szCs w:val="20"/>
                <w:lang w:eastAsia="en-AU"/>
              </w:rPr>
              <w:t>1,710</w:t>
            </w:r>
          </w:p>
        </w:tc>
        <w:tc>
          <w:tcPr>
            <w:tcW w:w="411" w:type="pct"/>
            <w:tcBorders>
              <w:top w:val="nil"/>
              <w:left w:val="nil"/>
              <w:bottom w:val="single" w:sz="4" w:space="0" w:color="0093D0"/>
              <w:right w:val="nil"/>
            </w:tcBorders>
            <w:shd w:val="clear" w:color="auto" w:fill="auto"/>
            <w:noWrap/>
            <w:vAlign w:val="center"/>
            <w:hideMark/>
          </w:tcPr>
          <w:p w:rsidR="00723017" w:rsidRPr="00723017" w:rsidRDefault="00723017" w:rsidP="00723017">
            <w:pPr>
              <w:spacing w:after="0" w:line="240" w:lineRule="auto"/>
              <w:jc w:val="center"/>
              <w:rPr>
                <w:rFonts w:eastAsia="Times New Roman"/>
                <w:b/>
                <w:bCs/>
                <w:color w:val="000000"/>
                <w:sz w:val="16"/>
                <w:szCs w:val="20"/>
                <w:lang w:eastAsia="en-AU"/>
              </w:rPr>
            </w:pPr>
            <w:r w:rsidRPr="00723017">
              <w:rPr>
                <w:rFonts w:eastAsia="Times New Roman"/>
                <w:b/>
                <w:bCs/>
                <w:color w:val="000000"/>
                <w:sz w:val="16"/>
                <w:szCs w:val="20"/>
                <w:lang w:eastAsia="en-AU"/>
              </w:rPr>
              <w:t>2,550</w:t>
            </w:r>
          </w:p>
        </w:tc>
        <w:tc>
          <w:tcPr>
            <w:tcW w:w="411" w:type="pct"/>
            <w:tcBorders>
              <w:top w:val="nil"/>
              <w:left w:val="nil"/>
              <w:bottom w:val="single" w:sz="4" w:space="0" w:color="0093D0"/>
              <w:right w:val="nil"/>
            </w:tcBorders>
            <w:shd w:val="clear" w:color="auto" w:fill="auto"/>
            <w:noWrap/>
            <w:vAlign w:val="center"/>
            <w:hideMark/>
          </w:tcPr>
          <w:p w:rsidR="00723017" w:rsidRPr="00723017" w:rsidRDefault="00723017" w:rsidP="00723017">
            <w:pPr>
              <w:spacing w:after="0" w:line="240" w:lineRule="auto"/>
              <w:jc w:val="center"/>
              <w:rPr>
                <w:rFonts w:eastAsia="Times New Roman"/>
                <w:b/>
                <w:bCs/>
                <w:color w:val="000000"/>
                <w:sz w:val="16"/>
                <w:szCs w:val="20"/>
                <w:lang w:eastAsia="en-AU"/>
              </w:rPr>
            </w:pPr>
            <w:r w:rsidRPr="00723017">
              <w:rPr>
                <w:rFonts w:eastAsia="Times New Roman"/>
                <w:b/>
                <w:bCs/>
                <w:color w:val="000000"/>
                <w:sz w:val="16"/>
                <w:szCs w:val="20"/>
                <w:lang w:eastAsia="en-AU"/>
              </w:rPr>
              <w:t>1,710</w:t>
            </w:r>
          </w:p>
        </w:tc>
        <w:tc>
          <w:tcPr>
            <w:tcW w:w="411" w:type="pct"/>
            <w:tcBorders>
              <w:top w:val="nil"/>
              <w:left w:val="nil"/>
              <w:bottom w:val="single" w:sz="4" w:space="0" w:color="0093D0"/>
              <w:right w:val="nil"/>
            </w:tcBorders>
            <w:shd w:val="clear" w:color="auto" w:fill="auto"/>
            <w:noWrap/>
            <w:vAlign w:val="center"/>
            <w:hideMark/>
          </w:tcPr>
          <w:p w:rsidR="00723017" w:rsidRPr="00723017" w:rsidRDefault="00723017" w:rsidP="00723017">
            <w:pPr>
              <w:spacing w:after="0" w:line="240" w:lineRule="auto"/>
              <w:jc w:val="center"/>
              <w:rPr>
                <w:rFonts w:eastAsia="Times New Roman"/>
                <w:b/>
                <w:bCs/>
                <w:color w:val="000000"/>
                <w:sz w:val="16"/>
                <w:szCs w:val="20"/>
                <w:lang w:eastAsia="en-AU"/>
              </w:rPr>
            </w:pPr>
            <w:r w:rsidRPr="00723017">
              <w:rPr>
                <w:rFonts w:eastAsia="Times New Roman"/>
                <w:b/>
                <w:bCs/>
                <w:color w:val="000000"/>
                <w:sz w:val="16"/>
                <w:szCs w:val="20"/>
                <w:lang w:eastAsia="en-AU"/>
              </w:rPr>
              <w:t>2,075</w:t>
            </w:r>
          </w:p>
        </w:tc>
        <w:tc>
          <w:tcPr>
            <w:tcW w:w="416" w:type="pct"/>
            <w:tcBorders>
              <w:top w:val="nil"/>
              <w:left w:val="nil"/>
              <w:bottom w:val="single" w:sz="4" w:space="0" w:color="0093D0"/>
              <w:right w:val="nil"/>
            </w:tcBorders>
            <w:shd w:val="clear" w:color="auto" w:fill="auto"/>
            <w:noWrap/>
            <w:vAlign w:val="center"/>
            <w:hideMark/>
          </w:tcPr>
          <w:p w:rsidR="00723017" w:rsidRPr="00723017" w:rsidRDefault="00723017" w:rsidP="00723017">
            <w:pPr>
              <w:spacing w:after="0" w:line="240" w:lineRule="auto"/>
              <w:jc w:val="center"/>
              <w:rPr>
                <w:rFonts w:eastAsia="Times New Roman"/>
                <w:b/>
                <w:bCs/>
                <w:color w:val="000000"/>
                <w:sz w:val="16"/>
                <w:szCs w:val="20"/>
                <w:lang w:eastAsia="en-AU"/>
              </w:rPr>
            </w:pPr>
            <w:r w:rsidRPr="00723017">
              <w:rPr>
                <w:rFonts w:eastAsia="Times New Roman"/>
                <w:b/>
                <w:bCs/>
                <w:color w:val="000000"/>
                <w:sz w:val="16"/>
                <w:szCs w:val="20"/>
                <w:lang w:eastAsia="en-AU"/>
              </w:rPr>
              <w:t>1,710</w:t>
            </w:r>
          </w:p>
        </w:tc>
        <w:tc>
          <w:tcPr>
            <w:tcW w:w="469" w:type="pct"/>
            <w:tcBorders>
              <w:top w:val="nil"/>
              <w:left w:val="nil"/>
              <w:bottom w:val="single" w:sz="4" w:space="0" w:color="0093D0"/>
              <w:right w:val="nil"/>
            </w:tcBorders>
            <w:shd w:val="clear" w:color="auto" w:fill="auto"/>
            <w:noWrap/>
            <w:vAlign w:val="center"/>
            <w:hideMark/>
          </w:tcPr>
          <w:p w:rsidR="00723017" w:rsidRPr="00723017" w:rsidRDefault="00723017" w:rsidP="00723017">
            <w:pPr>
              <w:spacing w:after="0" w:line="240" w:lineRule="auto"/>
              <w:jc w:val="center"/>
              <w:rPr>
                <w:rFonts w:eastAsia="Times New Roman"/>
                <w:b/>
                <w:bCs/>
                <w:color w:val="000000"/>
                <w:sz w:val="16"/>
                <w:szCs w:val="20"/>
                <w:lang w:eastAsia="en-AU"/>
              </w:rPr>
            </w:pPr>
            <w:r w:rsidRPr="00723017">
              <w:rPr>
                <w:rFonts w:eastAsia="Times New Roman"/>
                <w:b/>
                <w:bCs/>
                <w:color w:val="000000"/>
                <w:sz w:val="16"/>
                <w:szCs w:val="20"/>
                <w:lang w:eastAsia="en-AU"/>
              </w:rPr>
              <w:t>7,759</w:t>
            </w:r>
          </w:p>
        </w:tc>
        <w:tc>
          <w:tcPr>
            <w:tcW w:w="469" w:type="pct"/>
            <w:tcBorders>
              <w:top w:val="nil"/>
              <w:left w:val="nil"/>
              <w:bottom w:val="single" w:sz="4" w:space="0" w:color="0093D0"/>
              <w:right w:val="nil"/>
            </w:tcBorders>
            <w:shd w:val="clear" w:color="auto" w:fill="auto"/>
            <w:noWrap/>
            <w:vAlign w:val="center"/>
            <w:hideMark/>
          </w:tcPr>
          <w:p w:rsidR="00723017" w:rsidRPr="00723017" w:rsidRDefault="00723017" w:rsidP="00723017">
            <w:pPr>
              <w:spacing w:after="0" w:line="240" w:lineRule="auto"/>
              <w:jc w:val="center"/>
              <w:rPr>
                <w:rFonts w:eastAsia="Times New Roman"/>
                <w:b/>
                <w:bCs/>
                <w:color w:val="000000"/>
                <w:sz w:val="16"/>
                <w:szCs w:val="20"/>
                <w:lang w:eastAsia="en-AU"/>
              </w:rPr>
            </w:pPr>
            <w:r w:rsidRPr="00723017">
              <w:rPr>
                <w:rFonts w:eastAsia="Times New Roman"/>
                <w:b/>
                <w:bCs/>
                <w:color w:val="000000"/>
                <w:sz w:val="16"/>
                <w:szCs w:val="20"/>
                <w:lang w:eastAsia="en-AU"/>
              </w:rPr>
              <w:t>65</w:t>
            </w:r>
          </w:p>
        </w:tc>
        <w:tc>
          <w:tcPr>
            <w:tcW w:w="541" w:type="pct"/>
            <w:tcBorders>
              <w:top w:val="nil"/>
              <w:left w:val="nil"/>
              <w:bottom w:val="single" w:sz="4" w:space="0" w:color="0093D0"/>
              <w:right w:val="nil"/>
            </w:tcBorders>
            <w:vAlign w:val="center"/>
          </w:tcPr>
          <w:p w:rsidR="00723017" w:rsidRPr="00723017" w:rsidRDefault="00723017" w:rsidP="00723017">
            <w:pPr>
              <w:spacing w:after="0" w:line="240" w:lineRule="auto"/>
              <w:jc w:val="center"/>
              <w:rPr>
                <w:rFonts w:eastAsia="Times New Roman"/>
                <w:b/>
                <w:bCs/>
                <w:color w:val="000000"/>
                <w:sz w:val="16"/>
                <w:szCs w:val="20"/>
                <w:highlight w:val="yellow"/>
                <w:lang w:eastAsia="en-AU"/>
              </w:rPr>
            </w:pPr>
            <w:r w:rsidRPr="00723017">
              <w:rPr>
                <w:rFonts w:eastAsia="Times New Roman"/>
                <w:b/>
                <w:bCs/>
                <w:color w:val="000000"/>
                <w:sz w:val="16"/>
                <w:szCs w:val="20"/>
                <w:lang w:eastAsia="en-AU"/>
              </w:rPr>
              <w:t>2,750 – 3,400</w:t>
            </w:r>
          </w:p>
        </w:tc>
      </w:tr>
    </w:tbl>
    <w:p w:rsidR="00EE00DE" w:rsidRPr="003A4303" w:rsidRDefault="00EE00DE" w:rsidP="00EE00DE">
      <w:pPr>
        <w:pStyle w:val="MJAnormal"/>
      </w:pPr>
    </w:p>
    <w:p w:rsidR="00EE00DE" w:rsidRDefault="00EE00DE" w:rsidP="00EE00DE">
      <w:pPr>
        <w:pStyle w:val="Caption"/>
      </w:pPr>
      <w:bookmarkStart w:id="11" w:name="_Toc426386648"/>
      <w:r>
        <w:t xml:space="preserve">Figure </w:t>
      </w:r>
      <w:r w:rsidR="00C23339">
        <w:fldChar w:fldCharType="begin"/>
      </w:r>
      <w:r w:rsidR="00134558">
        <w:instrText xml:space="preserve"> SEQ Figure \* ARABIC </w:instrText>
      </w:r>
      <w:r w:rsidR="00C23339">
        <w:fldChar w:fldCharType="separate"/>
      </w:r>
      <w:r w:rsidR="00E00DC7">
        <w:rPr>
          <w:noProof/>
        </w:rPr>
        <w:t>4</w:t>
      </w:r>
      <w:r w:rsidR="00C23339">
        <w:rPr>
          <w:noProof/>
        </w:rPr>
        <w:fldChar w:fldCharType="end"/>
      </w:r>
      <w:r>
        <w:t>: Entitlement market price range by volume</w:t>
      </w:r>
      <w:bookmarkEnd w:id="11"/>
    </w:p>
    <w:p w:rsidR="00976A2C" w:rsidRPr="00976A2C" w:rsidRDefault="00723017" w:rsidP="009B0F4B">
      <w:pPr>
        <w:pStyle w:val="MJAnormal"/>
      </w:pPr>
      <w:r>
        <w:rPr>
          <w:noProof/>
          <w:lang w:eastAsia="en-AU"/>
        </w:rPr>
        <w:drawing>
          <wp:inline distT="0" distB="0" distL="0" distR="0">
            <wp:extent cx="5760000" cy="20731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073101"/>
                    </a:xfrm>
                    <a:prstGeom prst="rect">
                      <a:avLst/>
                    </a:prstGeom>
                    <a:noFill/>
                  </pic:spPr>
                </pic:pic>
              </a:graphicData>
            </a:graphic>
          </wp:inline>
        </w:drawing>
      </w:r>
    </w:p>
    <w:p w:rsidR="009B0F4B" w:rsidRDefault="009B0F4B" w:rsidP="009B0F4B">
      <w:pPr>
        <w:pStyle w:val="MJAnormal"/>
      </w:pPr>
    </w:p>
    <w:p w:rsidR="009B0F4B" w:rsidRPr="00360040" w:rsidRDefault="009B0F4B" w:rsidP="009B0F4B">
      <w:pPr>
        <w:pStyle w:val="MJAsource"/>
        <w:rPr>
          <w:sz w:val="16"/>
        </w:rPr>
      </w:pPr>
      <w:r w:rsidRPr="00360040">
        <w:rPr>
          <w:b/>
          <w:sz w:val="16"/>
        </w:rPr>
        <w:t>Note:</w:t>
      </w:r>
      <w:r w:rsidRPr="00360040">
        <w:rPr>
          <w:sz w:val="16"/>
        </w:rPr>
        <w:t xml:space="preserve"> </w:t>
      </w:r>
      <w:r w:rsidR="000D739B">
        <w:rPr>
          <w:sz w:val="16"/>
        </w:rPr>
        <w:t>Three</w:t>
      </w:r>
      <w:r w:rsidR="000D739B" w:rsidRPr="00360040">
        <w:rPr>
          <w:sz w:val="16"/>
        </w:rPr>
        <w:t xml:space="preserve"> </w:t>
      </w:r>
      <w:r w:rsidRPr="00360040">
        <w:rPr>
          <w:sz w:val="16"/>
        </w:rPr>
        <w:t>trades which are outside two standard deviations of the average price of water entitlements have been included for this region.</w:t>
      </w:r>
    </w:p>
    <w:p w:rsidR="002D50B8" w:rsidRDefault="002D50B8" w:rsidP="002D50B8">
      <w:pPr>
        <w:pStyle w:val="MJAsource"/>
      </w:pPr>
      <w:r w:rsidRPr="00AE33C7">
        <w:rPr>
          <w:b/>
          <w:sz w:val="16"/>
          <w:szCs w:val="16"/>
        </w:rPr>
        <w:t>Data Sources:</w:t>
      </w:r>
      <w:r w:rsidRPr="00AE33C7">
        <w:rPr>
          <w:sz w:val="16"/>
          <w:szCs w:val="16"/>
        </w:rPr>
        <w:t xml:space="preserve"> SA</w:t>
      </w:r>
      <w:r w:rsidRPr="00F17E80">
        <w:rPr>
          <w:sz w:val="16"/>
        </w:rPr>
        <w:t xml:space="preserve"> Water Register (</w:t>
      </w:r>
      <w:hyperlink r:id="rId23" w:history="1">
        <w:r w:rsidR="000A37A8" w:rsidRPr="00631B5E">
          <w:rPr>
            <w:rStyle w:val="Hyperlink"/>
            <w:sz w:val="16"/>
          </w:rPr>
          <w:t>www.waterconnect.sa.gov.au/Systems/WTR/Pages/default.aspx</w:t>
        </w:r>
      </w:hyperlink>
      <w:r w:rsidRPr="00F17E80">
        <w:rPr>
          <w:sz w:val="16"/>
        </w:rPr>
        <w:t>), National Water Exchange (</w:t>
      </w:r>
      <w:hyperlink r:id="rId24" w:history="1">
        <w:r w:rsidR="00B76B7E" w:rsidRPr="00631B5E">
          <w:rPr>
            <w:rStyle w:val="Hyperlink"/>
            <w:sz w:val="16"/>
          </w:rPr>
          <w:t>www.waterexchange.com.au</w:t>
        </w:r>
      </w:hyperlink>
      <w:r w:rsidRPr="00F17E80">
        <w:rPr>
          <w:sz w:val="16"/>
        </w:rPr>
        <w:t xml:space="preserve">), </w:t>
      </w:r>
      <w:proofErr w:type="spellStart"/>
      <w:r w:rsidRPr="00F17E80">
        <w:rPr>
          <w:sz w:val="16"/>
        </w:rPr>
        <w:t>Waterfind</w:t>
      </w:r>
      <w:proofErr w:type="spellEnd"/>
      <w:r w:rsidRPr="00F17E80">
        <w:rPr>
          <w:sz w:val="16"/>
        </w:rPr>
        <w:t xml:space="preserve"> (</w:t>
      </w:r>
      <w:hyperlink r:id="rId25" w:history="1">
        <w:r w:rsidRPr="00F17E80">
          <w:rPr>
            <w:rStyle w:val="Hyperlink"/>
            <w:sz w:val="16"/>
          </w:rPr>
          <w:t>www.waterfind.com.au</w:t>
        </w:r>
      </w:hyperlink>
      <w:r w:rsidRPr="00F17E80">
        <w:rPr>
          <w:sz w:val="16"/>
        </w:rPr>
        <w:t>)</w:t>
      </w:r>
      <w:r w:rsidR="000A37A8">
        <w:rPr>
          <w:sz w:val="16"/>
        </w:rPr>
        <w:t>, H2OX (</w:t>
      </w:r>
      <w:hyperlink r:id="rId26" w:history="1">
        <w:r w:rsidR="000A37A8" w:rsidRPr="00631B5E">
          <w:rPr>
            <w:rStyle w:val="Hyperlink"/>
            <w:sz w:val="16"/>
          </w:rPr>
          <w:t>www.h2ox.com</w:t>
        </w:r>
      </w:hyperlink>
      <w:r w:rsidR="000A37A8">
        <w:rPr>
          <w:sz w:val="16"/>
        </w:rPr>
        <w:t xml:space="preserve">) </w:t>
      </w:r>
    </w:p>
    <w:p w:rsidR="00EE00DE" w:rsidRDefault="00EE00DE" w:rsidP="00EE00DE">
      <w:pPr>
        <w:rPr>
          <w:sz w:val="18"/>
        </w:rPr>
      </w:pPr>
      <w:r>
        <w:rPr>
          <w:sz w:val="18"/>
        </w:rPr>
        <w:br w:type="page"/>
      </w:r>
    </w:p>
    <w:p w:rsidR="00EE00DE" w:rsidRDefault="00EE00DE" w:rsidP="00EE00DE">
      <w:pPr>
        <w:pStyle w:val="MJAheading2"/>
      </w:pPr>
      <w:bookmarkStart w:id="12" w:name="_Toc441834744"/>
      <w:r>
        <w:t>VIC Murray above Barmah Choke: High Reliability</w:t>
      </w:r>
      <w:bookmarkEnd w:id="12"/>
    </w:p>
    <w:p w:rsidR="00EE00DE" w:rsidRDefault="00EE00DE" w:rsidP="00EE00DE">
      <w:pPr>
        <w:pStyle w:val="Caption"/>
      </w:pPr>
      <w:bookmarkStart w:id="13" w:name="_Toc426386635"/>
      <w:r>
        <w:t xml:space="preserve">Figure </w:t>
      </w:r>
      <w:r w:rsidR="00C23339">
        <w:fldChar w:fldCharType="begin"/>
      </w:r>
      <w:r w:rsidR="00134558">
        <w:instrText xml:space="preserve"> SEQ Figure \* ARABIC </w:instrText>
      </w:r>
      <w:r w:rsidR="00C23339">
        <w:fldChar w:fldCharType="separate"/>
      </w:r>
      <w:r w:rsidR="00E00DC7">
        <w:rPr>
          <w:noProof/>
        </w:rPr>
        <w:t>5</w:t>
      </w:r>
      <w:r w:rsidR="00C23339">
        <w:rPr>
          <w:noProof/>
        </w:rPr>
        <w:fldChar w:fldCharType="end"/>
      </w:r>
      <w:r>
        <w:t>: Entitlement market prices and volumes</w:t>
      </w:r>
      <w:bookmarkEnd w:id="13"/>
    </w:p>
    <w:p w:rsidR="00723017" w:rsidRPr="00723017" w:rsidRDefault="00723017" w:rsidP="00723017">
      <w:pPr>
        <w:pStyle w:val="MJAnormal"/>
      </w:pPr>
      <w:r>
        <w:rPr>
          <w:noProof/>
          <w:lang w:eastAsia="en-AU"/>
        </w:rPr>
        <w:drawing>
          <wp:inline distT="0" distB="0" distL="0" distR="0">
            <wp:extent cx="5760000" cy="27905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EE00DE" w:rsidRPr="003A4303" w:rsidRDefault="00EE00DE" w:rsidP="00723017">
      <w:pPr>
        <w:pStyle w:val="MJAnormal"/>
      </w:pPr>
    </w:p>
    <w:p w:rsidR="00EE00DE" w:rsidRDefault="00EE00DE" w:rsidP="00EE00DE">
      <w:pPr>
        <w:pStyle w:val="Caption"/>
      </w:pPr>
      <w:bookmarkStart w:id="14" w:name="_Toc426386577"/>
      <w:r>
        <w:t xml:space="preserve">Table </w:t>
      </w:r>
      <w:r w:rsidR="00C23339">
        <w:fldChar w:fldCharType="begin"/>
      </w:r>
      <w:r w:rsidR="00134558">
        <w:instrText xml:space="preserve"> SEQ Table \* ARABIC </w:instrText>
      </w:r>
      <w:r w:rsidR="00C23339">
        <w:fldChar w:fldCharType="separate"/>
      </w:r>
      <w:r w:rsidR="00E00DC7">
        <w:rPr>
          <w:noProof/>
        </w:rPr>
        <w:t>3</w:t>
      </w:r>
      <w:r w:rsidR="00C23339">
        <w:rPr>
          <w:noProof/>
        </w:rPr>
        <w:fldChar w:fldCharType="end"/>
      </w:r>
      <w:r>
        <w:t>: Entitlement market prices and volumes</w:t>
      </w:r>
      <w:bookmarkEnd w:id="14"/>
    </w:p>
    <w:tbl>
      <w:tblPr>
        <w:tblW w:w="5000" w:type="pct"/>
        <w:tblCellMar>
          <w:left w:w="28" w:type="dxa"/>
          <w:right w:w="28" w:type="dxa"/>
        </w:tblCellMar>
        <w:tblLook w:val="04A0"/>
      </w:tblPr>
      <w:tblGrid>
        <w:gridCol w:w="883"/>
        <w:gridCol w:w="917"/>
        <w:gridCol w:w="874"/>
        <w:gridCol w:w="748"/>
        <w:gridCol w:w="748"/>
        <w:gridCol w:w="748"/>
        <w:gridCol w:w="748"/>
        <w:gridCol w:w="761"/>
        <w:gridCol w:w="856"/>
        <w:gridCol w:w="856"/>
        <w:gridCol w:w="988"/>
      </w:tblGrid>
      <w:tr w:rsidR="00B76B7E" w:rsidRPr="00147005" w:rsidTr="00723017">
        <w:trPr>
          <w:trHeight w:val="525"/>
        </w:trPr>
        <w:tc>
          <w:tcPr>
            <w:tcW w:w="1464" w:type="pct"/>
            <w:gridSpan w:val="3"/>
            <w:tcBorders>
              <w:top w:val="nil"/>
              <w:left w:val="nil"/>
              <w:bottom w:val="nil"/>
              <w:right w:val="nil"/>
            </w:tcBorders>
            <w:shd w:val="clear" w:color="000000" w:fill="0093D0"/>
            <w:noWrap/>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56" w:type="pct"/>
            <w:gridSpan w:val="5"/>
            <w:tcBorders>
              <w:top w:val="nil"/>
              <w:left w:val="single" w:sz="4" w:space="0" w:color="C5D9F1"/>
              <w:bottom w:val="nil"/>
              <w:right w:val="single" w:sz="4" w:space="0" w:color="C5D9F1"/>
            </w:tcBorders>
            <w:shd w:val="clear" w:color="000000" w:fill="0093D0"/>
            <w:noWrap/>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B76B7E" w:rsidRPr="00147005">
              <w:rPr>
                <w:rFonts w:eastAsia="Times New Roman"/>
                <w:b/>
                <w:bCs/>
                <w:color w:val="FFFFFF"/>
                <w:sz w:val="16"/>
                <w:szCs w:val="20"/>
                <w:lang w:eastAsia="en-AU"/>
              </w:rPr>
              <w:t xml:space="preserve"> 2015 Quarter (in $/ML)</w:t>
            </w:r>
          </w:p>
        </w:tc>
        <w:tc>
          <w:tcPr>
            <w:tcW w:w="469" w:type="pct"/>
            <w:vMerge w:val="restart"/>
            <w:tcBorders>
              <w:top w:val="nil"/>
              <w:left w:val="single" w:sz="4" w:space="0" w:color="C5D9F1"/>
              <w:right w:val="nil"/>
            </w:tcBorders>
            <w:shd w:val="clear" w:color="000000" w:fill="0093D0"/>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B76B7E">
              <w:rPr>
                <w:rFonts w:eastAsia="Times New Roman"/>
                <w:b/>
                <w:bCs/>
                <w:color w:val="FFFFFF"/>
                <w:sz w:val="16"/>
                <w:szCs w:val="20"/>
                <w:lang w:eastAsia="en-AU"/>
              </w:rPr>
              <w:t xml:space="preserve"> </w:t>
            </w:r>
            <w:r w:rsidR="00B76B7E" w:rsidRPr="00147005">
              <w:rPr>
                <w:rFonts w:eastAsia="Times New Roman"/>
                <w:b/>
                <w:bCs/>
                <w:color w:val="FFFFFF"/>
                <w:sz w:val="16"/>
                <w:szCs w:val="20"/>
                <w:lang w:eastAsia="en-AU"/>
              </w:rPr>
              <w:t>2015 Quarter Volume</w:t>
            </w:r>
            <w:r w:rsidR="00B76B7E">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B76B7E" w:rsidRPr="00147005">
              <w:rPr>
                <w:rFonts w:eastAsia="Times New Roman"/>
                <w:b/>
                <w:bCs/>
                <w:color w:val="FFFFFF"/>
                <w:sz w:val="16"/>
                <w:szCs w:val="20"/>
                <w:lang w:eastAsia="en-AU"/>
              </w:rPr>
              <w:t xml:space="preserve"> 2015 Quarter # of trades</w:t>
            </w:r>
          </w:p>
        </w:tc>
        <w:tc>
          <w:tcPr>
            <w:tcW w:w="542" w:type="pct"/>
            <w:vMerge w:val="restart"/>
            <w:tcBorders>
              <w:top w:val="nil"/>
              <w:left w:val="nil"/>
              <w:right w:val="nil"/>
            </w:tcBorders>
            <w:shd w:val="clear" w:color="000000" w:fill="0093D0"/>
            <w:vAlign w:val="center"/>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B76B7E" w:rsidRPr="00147005" w:rsidTr="00B76B7E">
        <w:trPr>
          <w:trHeight w:val="552"/>
        </w:trPr>
        <w:tc>
          <w:tcPr>
            <w:tcW w:w="483" w:type="pct"/>
            <w:tcBorders>
              <w:top w:val="nil"/>
              <w:left w:val="nil"/>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502" w:type="pct"/>
            <w:tcBorders>
              <w:top w:val="nil"/>
              <w:left w:val="nil"/>
              <w:bottom w:val="nil"/>
              <w:right w:val="nil"/>
            </w:tcBorders>
            <w:shd w:val="clear" w:color="000000" w:fill="0093D0"/>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B76B7E" w:rsidRPr="00147005">
              <w:rPr>
                <w:rFonts w:eastAsia="Times New Roman"/>
                <w:b/>
                <w:bCs/>
                <w:color w:val="FFFFFF"/>
                <w:sz w:val="16"/>
                <w:szCs w:val="20"/>
                <w:lang w:eastAsia="en-AU"/>
              </w:rPr>
              <w:t xml:space="preserve"> 2015 Quarter</w:t>
            </w:r>
          </w:p>
        </w:tc>
        <w:tc>
          <w:tcPr>
            <w:tcW w:w="478" w:type="pct"/>
            <w:tcBorders>
              <w:top w:val="nil"/>
              <w:left w:val="nil"/>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0" w:type="pct"/>
            <w:tcBorders>
              <w:top w:val="nil"/>
              <w:left w:val="single" w:sz="4" w:space="0" w:color="C5D9F1"/>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0" w:type="pct"/>
            <w:tcBorders>
              <w:top w:val="nil"/>
              <w:left w:val="nil"/>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0" w:type="pct"/>
            <w:tcBorders>
              <w:top w:val="nil"/>
              <w:left w:val="nil"/>
              <w:bottom w:val="nil"/>
              <w:right w:val="nil"/>
            </w:tcBorders>
            <w:shd w:val="clear" w:color="000000" w:fill="0093D0"/>
            <w:vAlign w:val="center"/>
            <w:hideMark/>
          </w:tcPr>
          <w:p w:rsidR="00B76B7E" w:rsidRPr="00147005" w:rsidRDefault="00EF4B7A"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Median</w:t>
            </w:r>
          </w:p>
        </w:tc>
        <w:tc>
          <w:tcPr>
            <w:tcW w:w="410" w:type="pct"/>
            <w:tcBorders>
              <w:top w:val="nil"/>
              <w:left w:val="nil"/>
              <w:bottom w:val="nil"/>
              <w:right w:val="nil"/>
            </w:tcBorders>
            <w:shd w:val="clear" w:color="000000" w:fill="0093D0"/>
            <w:vAlign w:val="center"/>
            <w:hideMark/>
          </w:tcPr>
          <w:p w:rsidR="00B76B7E" w:rsidRPr="00147005" w:rsidRDefault="00EF4B7A"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Mean</w:t>
            </w:r>
          </w:p>
        </w:tc>
        <w:tc>
          <w:tcPr>
            <w:tcW w:w="417" w:type="pct"/>
            <w:tcBorders>
              <w:top w:val="nil"/>
              <w:left w:val="nil"/>
              <w:bottom w:val="nil"/>
              <w:right w:val="single" w:sz="4" w:space="0" w:color="C5D9F1"/>
            </w:tcBorders>
            <w:shd w:val="clear" w:color="000000" w:fill="0093D0"/>
            <w:vAlign w:val="center"/>
            <w:hideMark/>
          </w:tcPr>
          <w:p w:rsidR="00B76B7E" w:rsidRPr="00147005" w:rsidRDefault="00EF4B7A"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Mode</w:t>
            </w:r>
            <w:r w:rsidRPr="00147005">
              <w:rPr>
                <w:rFonts w:eastAsia="Times New Roman"/>
                <w:b/>
                <w:bCs/>
                <w:color w:val="FFFFFF"/>
                <w:sz w:val="16"/>
                <w:szCs w:val="20"/>
                <w:lang w:eastAsia="en-AU"/>
              </w:rPr>
              <w:t xml:space="preserve"> </w:t>
            </w:r>
          </w:p>
        </w:tc>
        <w:tc>
          <w:tcPr>
            <w:tcW w:w="469" w:type="pct"/>
            <w:vMerge/>
            <w:tcBorders>
              <w:left w:val="single" w:sz="4" w:space="0" w:color="C5D9F1"/>
              <w:bottom w:val="nil"/>
              <w:right w:val="nil"/>
            </w:tcBorders>
            <w:vAlign w:val="center"/>
            <w:hideMark/>
          </w:tcPr>
          <w:p w:rsidR="00B76B7E" w:rsidRPr="00147005" w:rsidRDefault="00B76B7E" w:rsidP="00B76B7E">
            <w:pPr>
              <w:spacing w:after="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rsidR="00B76B7E" w:rsidRPr="00147005" w:rsidRDefault="00B76B7E" w:rsidP="00B76B7E">
            <w:pPr>
              <w:spacing w:after="0" w:line="240" w:lineRule="auto"/>
              <w:rPr>
                <w:rFonts w:eastAsia="Times New Roman"/>
                <w:b/>
                <w:bCs/>
                <w:color w:val="FFFFFF"/>
                <w:sz w:val="16"/>
                <w:szCs w:val="20"/>
                <w:lang w:eastAsia="en-AU"/>
              </w:rPr>
            </w:pPr>
          </w:p>
        </w:tc>
        <w:tc>
          <w:tcPr>
            <w:tcW w:w="542" w:type="pct"/>
            <w:vMerge/>
            <w:tcBorders>
              <w:left w:val="nil"/>
              <w:bottom w:val="nil"/>
              <w:right w:val="nil"/>
            </w:tcBorders>
            <w:vAlign w:val="center"/>
          </w:tcPr>
          <w:p w:rsidR="00B76B7E" w:rsidRPr="00147005" w:rsidRDefault="00B76B7E" w:rsidP="00B76B7E">
            <w:pPr>
              <w:spacing w:after="0" w:line="240" w:lineRule="auto"/>
              <w:rPr>
                <w:rFonts w:eastAsia="Times New Roman"/>
                <w:b/>
                <w:bCs/>
                <w:color w:val="FFFFFF"/>
                <w:sz w:val="16"/>
                <w:szCs w:val="20"/>
                <w:lang w:eastAsia="en-AU"/>
              </w:rPr>
            </w:pPr>
          </w:p>
        </w:tc>
      </w:tr>
      <w:tr w:rsidR="00723017" w:rsidRPr="00147005" w:rsidTr="00723017">
        <w:trPr>
          <w:trHeight w:val="555"/>
        </w:trPr>
        <w:tc>
          <w:tcPr>
            <w:tcW w:w="483" w:type="pct"/>
            <w:tcBorders>
              <w:top w:val="nil"/>
              <w:left w:val="nil"/>
              <w:bottom w:val="single" w:sz="4" w:space="0" w:color="0093D0"/>
              <w:right w:val="nil"/>
            </w:tcBorders>
            <w:shd w:val="clear" w:color="auto" w:fill="auto"/>
            <w:noWrap/>
            <w:vAlign w:val="center"/>
            <w:hideMark/>
          </w:tcPr>
          <w:p w:rsidR="00723017" w:rsidRPr="00723017" w:rsidRDefault="00723017" w:rsidP="00723017">
            <w:pPr>
              <w:spacing w:after="0" w:line="240" w:lineRule="auto"/>
              <w:jc w:val="center"/>
              <w:rPr>
                <w:rFonts w:eastAsia="Times New Roman"/>
                <w:b/>
                <w:bCs/>
                <w:color w:val="000000"/>
                <w:sz w:val="16"/>
                <w:szCs w:val="20"/>
                <w:lang w:eastAsia="en-AU"/>
              </w:rPr>
            </w:pPr>
            <w:r w:rsidRPr="00723017">
              <w:rPr>
                <w:rFonts w:eastAsia="Times New Roman"/>
                <w:b/>
                <w:bCs/>
                <w:color w:val="000000"/>
                <w:sz w:val="16"/>
                <w:szCs w:val="20"/>
                <w:lang w:eastAsia="en-AU"/>
              </w:rPr>
              <w:t>2,372</w:t>
            </w:r>
          </w:p>
        </w:tc>
        <w:tc>
          <w:tcPr>
            <w:tcW w:w="502" w:type="pct"/>
            <w:tcBorders>
              <w:top w:val="nil"/>
              <w:left w:val="nil"/>
              <w:bottom w:val="single" w:sz="4" w:space="0" w:color="0093D0"/>
              <w:right w:val="nil"/>
            </w:tcBorders>
            <w:shd w:val="clear" w:color="auto" w:fill="auto"/>
            <w:noWrap/>
            <w:vAlign w:val="center"/>
            <w:hideMark/>
          </w:tcPr>
          <w:p w:rsidR="00723017" w:rsidRPr="00723017" w:rsidRDefault="00723017" w:rsidP="00723017">
            <w:pPr>
              <w:spacing w:after="0" w:line="240" w:lineRule="auto"/>
              <w:jc w:val="center"/>
              <w:rPr>
                <w:rFonts w:eastAsia="Times New Roman"/>
                <w:b/>
                <w:bCs/>
                <w:color w:val="000000"/>
                <w:sz w:val="16"/>
                <w:szCs w:val="20"/>
                <w:lang w:eastAsia="en-AU"/>
              </w:rPr>
            </w:pPr>
            <w:r w:rsidRPr="00723017">
              <w:rPr>
                <w:rFonts w:eastAsia="Times New Roman"/>
                <w:b/>
                <w:bCs/>
                <w:color w:val="000000"/>
                <w:sz w:val="16"/>
                <w:szCs w:val="20"/>
                <w:lang w:eastAsia="en-AU"/>
              </w:rPr>
              <w:t>2,236</w:t>
            </w:r>
          </w:p>
        </w:tc>
        <w:tc>
          <w:tcPr>
            <w:tcW w:w="478" w:type="pct"/>
            <w:tcBorders>
              <w:top w:val="nil"/>
              <w:left w:val="nil"/>
              <w:bottom w:val="single" w:sz="4" w:space="0" w:color="0093D0"/>
              <w:right w:val="nil"/>
            </w:tcBorders>
            <w:shd w:val="clear" w:color="auto" w:fill="auto"/>
            <w:noWrap/>
            <w:vAlign w:val="center"/>
            <w:hideMark/>
          </w:tcPr>
          <w:p w:rsidR="00723017" w:rsidRPr="00723017" w:rsidRDefault="00723017" w:rsidP="00723017">
            <w:pPr>
              <w:spacing w:after="0" w:line="240" w:lineRule="auto"/>
              <w:jc w:val="center"/>
              <w:rPr>
                <w:rFonts w:eastAsia="Times New Roman"/>
                <w:b/>
                <w:bCs/>
                <w:color w:val="000000"/>
                <w:sz w:val="16"/>
                <w:szCs w:val="20"/>
                <w:lang w:eastAsia="en-AU"/>
              </w:rPr>
            </w:pPr>
            <w:r w:rsidRPr="00723017">
              <w:rPr>
                <w:rFonts w:eastAsia="Times New Roman"/>
                <w:b/>
                <w:bCs/>
                <w:color w:val="000000"/>
                <w:sz w:val="16"/>
                <w:szCs w:val="20"/>
                <w:lang w:eastAsia="en-AU"/>
              </w:rPr>
              <w:t>2,070</w:t>
            </w:r>
          </w:p>
        </w:tc>
        <w:tc>
          <w:tcPr>
            <w:tcW w:w="410" w:type="pct"/>
            <w:tcBorders>
              <w:top w:val="nil"/>
              <w:left w:val="nil"/>
              <w:bottom w:val="single" w:sz="4" w:space="0" w:color="0093D0"/>
              <w:right w:val="nil"/>
            </w:tcBorders>
            <w:shd w:val="clear" w:color="auto" w:fill="auto"/>
            <w:noWrap/>
            <w:vAlign w:val="center"/>
            <w:hideMark/>
          </w:tcPr>
          <w:p w:rsidR="00723017" w:rsidRPr="00723017" w:rsidRDefault="00723017" w:rsidP="00723017">
            <w:pPr>
              <w:spacing w:after="0" w:line="240" w:lineRule="auto"/>
              <w:jc w:val="center"/>
              <w:rPr>
                <w:rFonts w:eastAsia="Times New Roman"/>
                <w:b/>
                <w:bCs/>
                <w:color w:val="000000"/>
                <w:sz w:val="16"/>
                <w:szCs w:val="20"/>
                <w:lang w:eastAsia="en-AU"/>
              </w:rPr>
            </w:pPr>
            <w:r w:rsidRPr="00723017">
              <w:rPr>
                <w:rFonts w:eastAsia="Times New Roman"/>
                <w:b/>
                <w:bCs/>
                <w:color w:val="000000"/>
                <w:sz w:val="16"/>
                <w:szCs w:val="20"/>
                <w:lang w:eastAsia="en-AU"/>
              </w:rPr>
              <w:t>1,800</w:t>
            </w:r>
          </w:p>
        </w:tc>
        <w:tc>
          <w:tcPr>
            <w:tcW w:w="410" w:type="pct"/>
            <w:tcBorders>
              <w:top w:val="nil"/>
              <w:left w:val="nil"/>
              <w:bottom w:val="single" w:sz="4" w:space="0" w:color="0093D0"/>
              <w:right w:val="nil"/>
            </w:tcBorders>
            <w:shd w:val="clear" w:color="auto" w:fill="auto"/>
            <w:noWrap/>
            <w:vAlign w:val="center"/>
            <w:hideMark/>
          </w:tcPr>
          <w:p w:rsidR="00723017" w:rsidRPr="00723017" w:rsidRDefault="00723017" w:rsidP="00723017">
            <w:pPr>
              <w:spacing w:after="0" w:line="240" w:lineRule="auto"/>
              <w:jc w:val="center"/>
              <w:rPr>
                <w:rFonts w:eastAsia="Times New Roman"/>
                <w:b/>
                <w:bCs/>
                <w:color w:val="000000"/>
                <w:sz w:val="16"/>
                <w:szCs w:val="20"/>
                <w:lang w:eastAsia="en-AU"/>
              </w:rPr>
            </w:pPr>
            <w:r w:rsidRPr="00723017">
              <w:rPr>
                <w:rFonts w:eastAsia="Times New Roman"/>
                <w:b/>
                <w:bCs/>
                <w:color w:val="000000"/>
                <w:sz w:val="16"/>
                <w:szCs w:val="20"/>
                <w:lang w:eastAsia="en-AU"/>
              </w:rPr>
              <w:t>2,400</w:t>
            </w:r>
          </w:p>
        </w:tc>
        <w:tc>
          <w:tcPr>
            <w:tcW w:w="410" w:type="pct"/>
            <w:tcBorders>
              <w:top w:val="nil"/>
              <w:left w:val="nil"/>
              <w:bottom w:val="single" w:sz="4" w:space="0" w:color="0093D0"/>
              <w:right w:val="nil"/>
            </w:tcBorders>
            <w:shd w:val="clear" w:color="auto" w:fill="auto"/>
            <w:noWrap/>
            <w:vAlign w:val="center"/>
            <w:hideMark/>
          </w:tcPr>
          <w:p w:rsidR="00723017" w:rsidRPr="00723017" w:rsidRDefault="00723017" w:rsidP="00723017">
            <w:pPr>
              <w:spacing w:after="0" w:line="240" w:lineRule="auto"/>
              <w:jc w:val="center"/>
              <w:rPr>
                <w:rFonts w:eastAsia="Times New Roman"/>
                <w:b/>
                <w:bCs/>
                <w:color w:val="000000"/>
                <w:sz w:val="16"/>
                <w:szCs w:val="20"/>
                <w:lang w:eastAsia="en-AU"/>
              </w:rPr>
            </w:pPr>
            <w:r w:rsidRPr="00723017">
              <w:rPr>
                <w:rFonts w:eastAsia="Times New Roman"/>
                <w:b/>
                <w:bCs/>
                <w:color w:val="000000"/>
                <w:sz w:val="16"/>
                <w:szCs w:val="20"/>
                <w:lang w:eastAsia="en-AU"/>
              </w:rPr>
              <w:t>2,025</w:t>
            </w:r>
          </w:p>
        </w:tc>
        <w:tc>
          <w:tcPr>
            <w:tcW w:w="410" w:type="pct"/>
            <w:tcBorders>
              <w:top w:val="nil"/>
              <w:left w:val="nil"/>
              <w:bottom w:val="single" w:sz="4" w:space="0" w:color="0093D0"/>
              <w:right w:val="nil"/>
            </w:tcBorders>
            <w:shd w:val="clear" w:color="auto" w:fill="auto"/>
            <w:noWrap/>
            <w:vAlign w:val="center"/>
            <w:hideMark/>
          </w:tcPr>
          <w:p w:rsidR="00723017" w:rsidRPr="00723017" w:rsidRDefault="00723017" w:rsidP="00723017">
            <w:pPr>
              <w:spacing w:after="0" w:line="240" w:lineRule="auto"/>
              <w:jc w:val="center"/>
              <w:rPr>
                <w:rFonts w:eastAsia="Times New Roman"/>
                <w:b/>
                <w:bCs/>
                <w:color w:val="000000"/>
                <w:sz w:val="16"/>
                <w:szCs w:val="20"/>
                <w:lang w:eastAsia="en-AU"/>
              </w:rPr>
            </w:pPr>
            <w:r w:rsidRPr="00723017">
              <w:rPr>
                <w:rFonts w:eastAsia="Times New Roman"/>
                <w:b/>
                <w:bCs/>
                <w:color w:val="000000"/>
                <w:sz w:val="16"/>
                <w:szCs w:val="20"/>
                <w:lang w:eastAsia="en-AU"/>
              </w:rPr>
              <w:t>2,050</w:t>
            </w:r>
          </w:p>
        </w:tc>
        <w:tc>
          <w:tcPr>
            <w:tcW w:w="417" w:type="pct"/>
            <w:tcBorders>
              <w:top w:val="nil"/>
              <w:left w:val="nil"/>
              <w:bottom w:val="single" w:sz="4" w:space="0" w:color="0093D0"/>
              <w:right w:val="nil"/>
            </w:tcBorders>
            <w:shd w:val="clear" w:color="auto" w:fill="auto"/>
            <w:noWrap/>
            <w:vAlign w:val="center"/>
            <w:hideMark/>
          </w:tcPr>
          <w:p w:rsidR="00723017" w:rsidRPr="00723017" w:rsidRDefault="00723017" w:rsidP="00723017">
            <w:pPr>
              <w:spacing w:after="0" w:line="240" w:lineRule="auto"/>
              <w:jc w:val="center"/>
              <w:rPr>
                <w:rFonts w:eastAsia="Times New Roman"/>
                <w:b/>
                <w:bCs/>
                <w:color w:val="000000"/>
                <w:sz w:val="16"/>
                <w:szCs w:val="20"/>
                <w:lang w:eastAsia="en-AU"/>
              </w:rPr>
            </w:pPr>
            <w:r w:rsidRPr="00723017">
              <w:rPr>
                <w:rFonts w:eastAsia="Times New Roman"/>
                <w:b/>
                <w:bCs/>
                <w:color w:val="000000"/>
                <w:sz w:val="16"/>
                <w:szCs w:val="20"/>
                <w:lang w:eastAsia="en-AU"/>
              </w:rPr>
              <w:t>1,500</w:t>
            </w:r>
          </w:p>
        </w:tc>
        <w:tc>
          <w:tcPr>
            <w:tcW w:w="469" w:type="pct"/>
            <w:tcBorders>
              <w:top w:val="nil"/>
              <w:left w:val="nil"/>
              <w:bottom w:val="single" w:sz="4" w:space="0" w:color="0093D0"/>
              <w:right w:val="nil"/>
            </w:tcBorders>
            <w:shd w:val="clear" w:color="auto" w:fill="auto"/>
            <w:noWrap/>
            <w:vAlign w:val="center"/>
            <w:hideMark/>
          </w:tcPr>
          <w:p w:rsidR="00723017" w:rsidRPr="00723017" w:rsidRDefault="00723017" w:rsidP="00723017">
            <w:pPr>
              <w:spacing w:after="0" w:line="240" w:lineRule="auto"/>
              <w:jc w:val="center"/>
              <w:rPr>
                <w:rFonts w:eastAsia="Times New Roman"/>
                <w:b/>
                <w:bCs/>
                <w:color w:val="000000"/>
                <w:sz w:val="16"/>
                <w:szCs w:val="20"/>
                <w:lang w:eastAsia="en-AU"/>
              </w:rPr>
            </w:pPr>
            <w:r w:rsidRPr="00723017">
              <w:rPr>
                <w:rFonts w:eastAsia="Times New Roman"/>
                <w:b/>
                <w:bCs/>
                <w:color w:val="000000"/>
                <w:sz w:val="16"/>
                <w:szCs w:val="20"/>
                <w:lang w:eastAsia="en-AU"/>
              </w:rPr>
              <w:t>1,808</w:t>
            </w:r>
          </w:p>
        </w:tc>
        <w:tc>
          <w:tcPr>
            <w:tcW w:w="469" w:type="pct"/>
            <w:tcBorders>
              <w:top w:val="nil"/>
              <w:left w:val="nil"/>
              <w:bottom w:val="single" w:sz="4" w:space="0" w:color="0093D0"/>
              <w:right w:val="nil"/>
            </w:tcBorders>
            <w:shd w:val="clear" w:color="auto" w:fill="auto"/>
            <w:noWrap/>
            <w:vAlign w:val="center"/>
            <w:hideMark/>
          </w:tcPr>
          <w:p w:rsidR="00723017" w:rsidRPr="00723017" w:rsidRDefault="00723017" w:rsidP="00723017">
            <w:pPr>
              <w:spacing w:after="0" w:line="240" w:lineRule="auto"/>
              <w:jc w:val="center"/>
              <w:rPr>
                <w:rFonts w:eastAsia="Times New Roman"/>
                <w:b/>
                <w:bCs/>
                <w:color w:val="000000"/>
                <w:sz w:val="16"/>
                <w:szCs w:val="20"/>
                <w:lang w:eastAsia="en-AU"/>
              </w:rPr>
            </w:pPr>
            <w:r w:rsidRPr="00723017">
              <w:rPr>
                <w:rFonts w:eastAsia="Times New Roman"/>
                <w:b/>
                <w:bCs/>
                <w:color w:val="000000"/>
                <w:sz w:val="16"/>
                <w:szCs w:val="20"/>
                <w:lang w:eastAsia="en-AU"/>
              </w:rPr>
              <w:t>40</w:t>
            </w:r>
          </w:p>
        </w:tc>
        <w:tc>
          <w:tcPr>
            <w:tcW w:w="542" w:type="pct"/>
            <w:tcBorders>
              <w:top w:val="nil"/>
              <w:left w:val="nil"/>
              <w:bottom w:val="single" w:sz="4" w:space="0" w:color="0093D0"/>
              <w:right w:val="nil"/>
            </w:tcBorders>
            <w:vAlign w:val="center"/>
          </w:tcPr>
          <w:p w:rsidR="00723017" w:rsidRPr="00147005" w:rsidRDefault="00723017" w:rsidP="00723017">
            <w:pPr>
              <w:spacing w:after="0" w:line="240" w:lineRule="auto"/>
              <w:jc w:val="center"/>
              <w:rPr>
                <w:rFonts w:eastAsia="Times New Roman"/>
                <w:b/>
                <w:bCs/>
                <w:color w:val="000000"/>
                <w:sz w:val="16"/>
                <w:szCs w:val="20"/>
                <w:lang w:eastAsia="en-AU"/>
              </w:rPr>
            </w:pPr>
            <w:r w:rsidRPr="00723017">
              <w:rPr>
                <w:rFonts w:eastAsia="Times New Roman"/>
                <w:b/>
                <w:bCs/>
                <w:color w:val="000000"/>
                <w:sz w:val="16"/>
                <w:szCs w:val="20"/>
                <w:lang w:eastAsia="en-AU"/>
              </w:rPr>
              <w:t>2,600 – 3,150</w:t>
            </w:r>
          </w:p>
        </w:tc>
      </w:tr>
    </w:tbl>
    <w:p w:rsidR="001F075E" w:rsidRDefault="001F075E" w:rsidP="001F075E"/>
    <w:p w:rsidR="00EE00DE" w:rsidRDefault="00EE00DE" w:rsidP="00EE00DE">
      <w:pPr>
        <w:pStyle w:val="Caption"/>
      </w:pPr>
      <w:bookmarkStart w:id="15" w:name="_Toc426386636"/>
      <w:r>
        <w:t xml:space="preserve">Figure </w:t>
      </w:r>
      <w:r w:rsidR="00C23339">
        <w:fldChar w:fldCharType="begin"/>
      </w:r>
      <w:r w:rsidR="00134558">
        <w:instrText xml:space="preserve"> SEQ Figure \* ARABIC </w:instrText>
      </w:r>
      <w:r w:rsidR="00C23339">
        <w:fldChar w:fldCharType="separate"/>
      </w:r>
      <w:r w:rsidR="00E00DC7">
        <w:rPr>
          <w:noProof/>
        </w:rPr>
        <w:t>6</w:t>
      </w:r>
      <w:r w:rsidR="00C23339">
        <w:rPr>
          <w:noProof/>
        </w:rPr>
        <w:fldChar w:fldCharType="end"/>
      </w:r>
      <w:r>
        <w:t>: Entitlement market price range by volume</w:t>
      </w:r>
      <w:bookmarkEnd w:id="15"/>
    </w:p>
    <w:p w:rsidR="00976A2C" w:rsidRPr="00976A2C" w:rsidRDefault="00723017" w:rsidP="00360040">
      <w:pPr>
        <w:pStyle w:val="MJAnormal"/>
      </w:pPr>
      <w:r>
        <w:rPr>
          <w:noProof/>
          <w:lang w:eastAsia="en-AU"/>
        </w:rPr>
        <w:drawing>
          <wp:inline distT="0" distB="0" distL="0" distR="0">
            <wp:extent cx="5760000" cy="20731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073101"/>
                    </a:xfrm>
                    <a:prstGeom prst="rect">
                      <a:avLst/>
                    </a:prstGeom>
                    <a:noFill/>
                  </pic:spPr>
                </pic:pic>
              </a:graphicData>
            </a:graphic>
          </wp:inline>
        </w:drawing>
      </w:r>
    </w:p>
    <w:p w:rsidR="00360040" w:rsidRPr="00360040" w:rsidRDefault="00360040" w:rsidP="00360040">
      <w:pPr>
        <w:pStyle w:val="MJAsource"/>
        <w:rPr>
          <w:b/>
          <w:sz w:val="16"/>
        </w:rPr>
      </w:pPr>
    </w:p>
    <w:p w:rsidR="002D50B8" w:rsidRPr="00564276" w:rsidRDefault="002D50B8" w:rsidP="002D50B8">
      <w:pPr>
        <w:pStyle w:val="MJAsource"/>
      </w:pPr>
      <w:r w:rsidRPr="00AE33C7">
        <w:rPr>
          <w:b/>
          <w:sz w:val="16"/>
          <w:szCs w:val="16"/>
        </w:rPr>
        <w:t>Data Sources:</w:t>
      </w:r>
      <w:r w:rsidRPr="00AE33C7">
        <w:rPr>
          <w:sz w:val="16"/>
          <w:szCs w:val="16"/>
        </w:rPr>
        <w:t xml:space="preserve"> VIC</w:t>
      </w:r>
      <w:r w:rsidRPr="00F17E80">
        <w:rPr>
          <w:sz w:val="16"/>
        </w:rPr>
        <w:t xml:space="preserve"> Water Register (waterregister.vic.gov.au/water-trading/water-share-trading), National Water Exchange </w:t>
      </w:r>
      <w:r w:rsidR="000A37A8" w:rsidRPr="00F17E80">
        <w:rPr>
          <w:sz w:val="16"/>
        </w:rPr>
        <w:t>(</w:t>
      </w:r>
      <w:hyperlink r:id="rId29" w:history="1">
        <w:r w:rsidR="000A37A8" w:rsidRPr="00631B5E">
          <w:rPr>
            <w:rStyle w:val="Hyperlink"/>
            <w:sz w:val="16"/>
          </w:rPr>
          <w:t>www.waterexchange.com.au</w:t>
        </w:r>
      </w:hyperlink>
      <w:r w:rsidR="000A37A8" w:rsidRPr="00F17E80">
        <w:rPr>
          <w:sz w:val="16"/>
        </w:rPr>
        <w:t xml:space="preserve">), </w:t>
      </w:r>
      <w:proofErr w:type="spellStart"/>
      <w:r w:rsidR="000A37A8" w:rsidRPr="00F17E80">
        <w:rPr>
          <w:sz w:val="16"/>
        </w:rPr>
        <w:t>Waterfind</w:t>
      </w:r>
      <w:proofErr w:type="spellEnd"/>
      <w:r w:rsidR="000A37A8" w:rsidRPr="00F17E80">
        <w:rPr>
          <w:sz w:val="16"/>
        </w:rPr>
        <w:t xml:space="preserve"> (</w:t>
      </w:r>
      <w:hyperlink r:id="rId30" w:history="1">
        <w:r w:rsidR="000A37A8" w:rsidRPr="00F17E80">
          <w:rPr>
            <w:rStyle w:val="Hyperlink"/>
            <w:sz w:val="16"/>
          </w:rPr>
          <w:t>www.waterfind.com.au</w:t>
        </w:r>
      </w:hyperlink>
      <w:r w:rsidR="000A37A8" w:rsidRPr="00F17E80">
        <w:rPr>
          <w:sz w:val="16"/>
        </w:rPr>
        <w:t>)</w:t>
      </w:r>
      <w:r w:rsidR="000A37A8">
        <w:rPr>
          <w:sz w:val="16"/>
        </w:rPr>
        <w:t>, H2OX (</w:t>
      </w:r>
      <w:hyperlink r:id="rId31" w:history="1">
        <w:r w:rsidR="000A37A8" w:rsidRPr="00631B5E">
          <w:rPr>
            <w:rStyle w:val="Hyperlink"/>
            <w:sz w:val="16"/>
          </w:rPr>
          <w:t>www.h2ox.com</w:t>
        </w:r>
      </w:hyperlink>
      <w:r w:rsidR="000A37A8">
        <w:rPr>
          <w:sz w:val="16"/>
        </w:rPr>
        <w:t>)</w:t>
      </w:r>
    </w:p>
    <w:p w:rsidR="00EE00DE" w:rsidRDefault="00EE00DE" w:rsidP="00EE00DE">
      <w:pPr>
        <w:rPr>
          <w:sz w:val="18"/>
        </w:rPr>
      </w:pPr>
      <w:r>
        <w:rPr>
          <w:sz w:val="18"/>
        </w:rPr>
        <w:br w:type="page"/>
      </w:r>
    </w:p>
    <w:p w:rsidR="00EE00DE" w:rsidRDefault="00EE00DE" w:rsidP="00EE00DE">
      <w:pPr>
        <w:pStyle w:val="MJAheading2"/>
      </w:pPr>
      <w:bookmarkStart w:id="16" w:name="_Toc441834745"/>
      <w:r>
        <w:t>VIC Murray above Barmah Choke: Low Reliability</w:t>
      </w:r>
      <w:bookmarkEnd w:id="16"/>
    </w:p>
    <w:p w:rsidR="00EE00DE" w:rsidRDefault="00EE00DE" w:rsidP="00EE00DE">
      <w:pPr>
        <w:pStyle w:val="Caption"/>
      </w:pPr>
      <w:bookmarkStart w:id="17" w:name="_Toc426386637"/>
      <w:r>
        <w:t xml:space="preserve">Figure </w:t>
      </w:r>
      <w:r w:rsidR="00C23339">
        <w:fldChar w:fldCharType="begin"/>
      </w:r>
      <w:r w:rsidR="00134558">
        <w:instrText xml:space="preserve"> SEQ Figure \* ARABIC </w:instrText>
      </w:r>
      <w:r w:rsidR="00C23339">
        <w:fldChar w:fldCharType="separate"/>
      </w:r>
      <w:r w:rsidR="00E00DC7">
        <w:rPr>
          <w:noProof/>
        </w:rPr>
        <w:t>7</w:t>
      </w:r>
      <w:r w:rsidR="00C23339">
        <w:rPr>
          <w:noProof/>
        </w:rPr>
        <w:fldChar w:fldCharType="end"/>
      </w:r>
      <w:r>
        <w:t>: Entitlement market prices and volumes</w:t>
      </w:r>
      <w:bookmarkEnd w:id="17"/>
    </w:p>
    <w:p w:rsidR="00723017" w:rsidRPr="00723017" w:rsidRDefault="00723017" w:rsidP="006E681D">
      <w:pPr>
        <w:pStyle w:val="MJAnormal"/>
      </w:pPr>
      <w:r>
        <w:rPr>
          <w:noProof/>
          <w:lang w:eastAsia="en-AU"/>
        </w:rPr>
        <w:drawing>
          <wp:inline distT="0" distB="0" distL="0" distR="0">
            <wp:extent cx="5760000" cy="27905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EE00DE" w:rsidRPr="003A4303" w:rsidRDefault="00EE00DE" w:rsidP="006E681D">
      <w:pPr>
        <w:pStyle w:val="MJAnormal"/>
      </w:pPr>
    </w:p>
    <w:p w:rsidR="00EE00DE" w:rsidRDefault="00EE00DE" w:rsidP="00EE00DE">
      <w:pPr>
        <w:pStyle w:val="Caption"/>
      </w:pPr>
      <w:bookmarkStart w:id="18" w:name="_Toc426386579"/>
      <w:r>
        <w:t xml:space="preserve">Table </w:t>
      </w:r>
      <w:r w:rsidR="00C23339">
        <w:fldChar w:fldCharType="begin"/>
      </w:r>
      <w:r w:rsidR="00134558">
        <w:instrText xml:space="preserve"> SEQ Table \* ARABIC </w:instrText>
      </w:r>
      <w:r w:rsidR="00C23339">
        <w:fldChar w:fldCharType="separate"/>
      </w:r>
      <w:r w:rsidR="00E00DC7">
        <w:rPr>
          <w:noProof/>
        </w:rPr>
        <w:t>4</w:t>
      </w:r>
      <w:r w:rsidR="00C23339">
        <w:rPr>
          <w:noProof/>
        </w:rPr>
        <w:fldChar w:fldCharType="end"/>
      </w:r>
      <w:r>
        <w:t>: Entitlement market prices and volumes</w:t>
      </w:r>
      <w:bookmarkEnd w:id="18"/>
    </w:p>
    <w:tbl>
      <w:tblPr>
        <w:tblW w:w="5000" w:type="pct"/>
        <w:tblCellMar>
          <w:left w:w="28" w:type="dxa"/>
          <w:right w:w="28" w:type="dxa"/>
        </w:tblCellMar>
        <w:tblLook w:val="04A0"/>
      </w:tblPr>
      <w:tblGrid>
        <w:gridCol w:w="880"/>
        <w:gridCol w:w="918"/>
        <w:gridCol w:w="873"/>
        <w:gridCol w:w="750"/>
        <w:gridCol w:w="750"/>
        <w:gridCol w:w="750"/>
        <w:gridCol w:w="752"/>
        <w:gridCol w:w="756"/>
        <w:gridCol w:w="854"/>
        <w:gridCol w:w="856"/>
        <w:gridCol w:w="988"/>
      </w:tblGrid>
      <w:tr w:rsidR="00B76B7E" w:rsidRPr="00147005" w:rsidTr="00B76B7E">
        <w:trPr>
          <w:trHeight w:val="525"/>
        </w:trPr>
        <w:tc>
          <w:tcPr>
            <w:tcW w:w="1463" w:type="pct"/>
            <w:gridSpan w:val="3"/>
            <w:tcBorders>
              <w:top w:val="nil"/>
              <w:left w:val="nil"/>
              <w:bottom w:val="nil"/>
              <w:right w:val="nil"/>
            </w:tcBorders>
            <w:shd w:val="clear" w:color="000000" w:fill="0093D0"/>
            <w:noWrap/>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59" w:type="pct"/>
            <w:gridSpan w:val="5"/>
            <w:tcBorders>
              <w:top w:val="nil"/>
              <w:left w:val="single" w:sz="4" w:space="0" w:color="C5D9F1"/>
              <w:bottom w:val="nil"/>
              <w:right w:val="single" w:sz="4" w:space="0" w:color="C5D9F1"/>
            </w:tcBorders>
            <w:shd w:val="clear" w:color="000000" w:fill="0093D0"/>
            <w:noWrap/>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B76B7E" w:rsidRPr="00147005">
              <w:rPr>
                <w:rFonts w:eastAsia="Times New Roman"/>
                <w:b/>
                <w:bCs/>
                <w:color w:val="FFFFFF"/>
                <w:sz w:val="16"/>
                <w:szCs w:val="20"/>
                <w:lang w:eastAsia="en-AU"/>
              </w:rPr>
              <w:t xml:space="preserve"> 2015 Quarter (in $/ML)</w:t>
            </w:r>
          </w:p>
        </w:tc>
        <w:tc>
          <w:tcPr>
            <w:tcW w:w="468" w:type="pct"/>
            <w:vMerge w:val="restart"/>
            <w:tcBorders>
              <w:top w:val="nil"/>
              <w:left w:val="single" w:sz="4" w:space="0" w:color="C5D9F1"/>
              <w:right w:val="nil"/>
            </w:tcBorders>
            <w:shd w:val="clear" w:color="000000" w:fill="0093D0"/>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B76B7E">
              <w:rPr>
                <w:rFonts w:eastAsia="Times New Roman"/>
                <w:b/>
                <w:bCs/>
                <w:color w:val="FFFFFF"/>
                <w:sz w:val="16"/>
                <w:szCs w:val="20"/>
                <w:lang w:eastAsia="en-AU"/>
              </w:rPr>
              <w:t xml:space="preserve"> </w:t>
            </w:r>
            <w:r w:rsidR="00B76B7E" w:rsidRPr="00147005">
              <w:rPr>
                <w:rFonts w:eastAsia="Times New Roman"/>
                <w:b/>
                <w:bCs/>
                <w:color w:val="FFFFFF"/>
                <w:sz w:val="16"/>
                <w:szCs w:val="20"/>
                <w:lang w:eastAsia="en-AU"/>
              </w:rPr>
              <w:t>2015 Quarter Volume</w:t>
            </w:r>
            <w:r w:rsidR="00B76B7E">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B76B7E" w:rsidRPr="00147005">
              <w:rPr>
                <w:rFonts w:eastAsia="Times New Roman"/>
                <w:b/>
                <w:bCs/>
                <w:color w:val="FFFFFF"/>
                <w:sz w:val="16"/>
                <w:szCs w:val="20"/>
                <w:lang w:eastAsia="en-AU"/>
              </w:rPr>
              <w:t xml:space="preserve"> 2015 Quarter # of trades</w:t>
            </w:r>
          </w:p>
        </w:tc>
        <w:tc>
          <w:tcPr>
            <w:tcW w:w="541" w:type="pct"/>
            <w:vMerge w:val="restart"/>
            <w:tcBorders>
              <w:top w:val="nil"/>
              <w:left w:val="nil"/>
              <w:right w:val="nil"/>
            </w:tcBorders>
            <w:shd w:val="clear" w:color="000000" w:fill="0093D0"/>
            <w:vAlign w:val="center"/>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B76B7E" w:rsidRPr="00147005" w:rsidTr="00B76B7E">
        <w:trPr>
          <w:trHeight w:val="552"/>
        </w:trPr>
        <w:tc>
          <w:tcPr>
            <w:tcW w:w="482" w:type="pct"/>
            <w:tcBorders>
              <w:top w:val="nil"/>
              <w:left w:val="nil"/>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503" w:type="pct"/>
            <w:tcBorders>
              <w:top w:val="nil"/>
              <w:left w:val="nil"/>
              <w:bottom w:val="nil"/>
              <w:right w:val="nil"/>
            </w:tcBorders>
            <w:shd w:val="clear" w:color="000000" w:fill="0093D0"/>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B76B7E" w:rsidRPr="00147005">
              <w:rPr>
                <w:rFonts w:eastAsia="Times New Roman"/>
                <w:b/>
                <w:bCs/>
                <w:color w:val="FFFFFF"/>
                <w:sz w:val="16"/>
                <w:szCs w:val="20"/>
                <w:lang w:eastAsia="en-AU"/>
              </w:rPr>
              <w:t xml:space="preserve"> 2015 Quarter</w:t>
            </w:r>
          </w:p>
        </w:tc>
        <w:tc>
          <w:tcPr>
            <w:tcW w:w="478" w:type="pct"/>
            <w:tcBorders>
              <w:top w:val="nil"/>
              <w:left w:val="nil"/>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rsidR="00B76B7E" w:rsidRPr="00147005" w:rsidRDefault="00D33D1C"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Median</w:t>
            </w:r>
          </w:p>
        </w:tc>
        <w:tc>
          <w:tcPr>
            <w:tcW w:w="412" w:type="pct"/>
            <w:tcBorders>
              <w:top w:val="nil"/>
              <w:left w:val="nil"/>
              <w:bottom w:val="nil"/>
              <w:right w:val="nil"/>
            </w:tcBorders>
            <w:shd w:val="clear" w:color="000000" w:fill="0093D0"/>
            <w:vAlign w:val="center"/>
            <w:hideMark/>
          </w:tcPr>
          <w:p w:rsidR="00B76B7E" w:rsidRPr="00147005" w:rsidRDefault="00D33D1C"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Mean</w:t>
            </w:r>
          </w:p>
        </w:tc>
        <w:tc>
          <w:tcPr>
            <w:tcW w:w="414" w:type="pct"/>
            <w:tcBorders>
              <w:top w:val="nil"/>
              <w:left w:val="nil"/>
              <w:bottom w:val="nil"/>
              <w:right w:val="single" w:sz="4" w:space="0" w:color="C5D9F1"/>
            </w:tcBorders>
            <w:shd w:val="clear" w:color="000000" w:fill="0093D0"/>
            <w:vAlign w:val="center"/>
            <w:hideMark/>
          </w:tcPr>
          <w:p w:rsidR="00B76B7E" w:rsidRPr="00147005" w:rsidRDefault="00D33D1C"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Mode</w:t>
            </w:r>
          </w:p>
        </w:tc>
        <w:tc>
          <w:tcPr>
            <w:tcW w:w="468" w:type="pct"/>
            <w:vMerge/>
            <w:tcBorders>
              <w:left w:val="single" w:sz="4" w:space="0" w:color="C5D9F1"/>
              <w:bottom w:val="nil"/>
              <w:right w:val="nil"/>
            </w:tcBorders>
            <w:vAlign w:val="center"/>
            <w:hideMark/>
          </w:tcPr>
          <w:p w:rsidR="00B76B7E" w:rsidRPr="00147005" w:rsidRDefault="00B76B7E" w:rsidP="00B76B7E">
            <w:pPr>
              <w:spacing w:after="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rsidR="00B76B7E" w:rsidRPr="00147005" w:rsidRDefault="00B76B7E" w:rsidP="00B76B7E">
            <w:pPr>
              <w:spacing w:after="0" w:line="240" w:lineRule="auto"/>
              <w:rPr>
                <w:rFonts w:eastAsia="Times New Roman"/>
                <w:b/>
                <w:bCs/>
                <w:color w:val="FFFFFF"/>
                <w:sz w:val="16"/>
                <w:szCs w:val="20"/>
                <w:lang w:eastAsia="en-AU"/>
              </w:rPr>
            </w:pPr>
          </w:p>
        </w:tc>
        <w:tc>
          <w:tcPr>
            <w:tcW w:w="541" w:type="pct"/>
            <w:vMerge/>
            <w:tcBorders>
              <w:left w:val="nil"/>
              <w:bottom w:val="nil"/>
              <w:right w:val="nil"/>
            </w:tcBorders>
            <w:vAlign w:val="center"/>
          </w:tcPr>
          <w:p w:rsidR="00B76B7E" w:rsidRPr="00147005" w:rsidRDefault="00B76B7E" w:rsidP="00B76B7E">
            <w:pPr>
              <w:spacing w:after="0" w:line="240" w:lineRule="auto"/>
              <w:rPr>
                <w:rFonts w:eastAsia="Times New Roman"/>
                <w:b/>
                <w:bCs/>
                <w:color w:val="FFFFFF"/>
                <w:sz w:val="16"/>
                <w:szCs w:val="20"/>
                <w:lang w:eastAsia="en-AU"/>
              </w:rPr>
            </w:pPr>
          </w:p>
        </w:tc>
      </w:tr>
      <w:tr w:rsidR="006E681D" w:rsidRPr="00147005" w:rsidTr="00B76B7E">
        <w:trPr>
          <w:trHeight w:val="555"/>
        </w:trPr>
        <w:tc>
          <w:tcPr>
            <w:tcW w:w="482" w:type="pct"/>
            <w:tcBorders>
              <w:top w:val="nil"/>
              <w:left w:val="nil"/>
              <w:bottom w:val="single" w:sz="4" w:space="0" w:color="0093D0"/>
              <w:right w:val="nil"/>
            </w:tcBorders>
            <w:shd w:val="clear" w:color="auto" w:fill="auto"/>
            <w:noWrap/>
            <w:vAlign w:val="center"/>
            <w:hideMark/>
          </w:tcPr>
          <w:p w:rsidR="006E681D" w:rsidRDefault="006E681D" w:rsidP="006E681D">
            <w:pPr>
              <w:spacing w:after="0" w:line="240" w:lineRule="auto"/>
              <w:jc w:val="center"/>
              <w:rPr>
                <w:b/>
                <w:bCs/>
                <w:color w:val="000000"/>
                <w:sz w:val="16"/>
                <w:szCs w:val="16"/>
                <w:lang w:eastAsia="en-AU"/>
              </w:rPr>
            </w:pPr>
            <w:r>
              <w:rPr>
                <w:b/>
                <w:bCs/>
                <w:color w:val="000000"/>
                <w:sz w:val="16"/>
                <w:szCs w:val="16"/>
              </w:rPr>
              <w:t>236</w:t>
            </w:r>
          </w:p>
        </w:tc>
        <w:tc>
          <w:tcPr>
            <w:tcW w:w="503" w:type="pct"/>
            <w:tcBorders>
              <w:top w:val="nil"/>
              <w:left w:val="nil"/>
              <w:bottom w:val="single" w:sz="4" w:space="0" w:color="0093D0"/>
              <w:right w:val="nil"/>
            </w:tcBorders>
            <w:shd w:val="clear" w:color="auto" w:fill="auto"/>
            <w:noWrap/>
            <w:vAlign w:val="center"/>
            <w:hideMark/>
          </w:tcPr>
          <w:p w:rsidR="006E681D" w:rsidRDefault="006E681D" w:rsidP="006E681D">
            <w:pPr>
              <w:spacing w:after="0" w:line="240" w:lineRule="auto"/>
              <w:jc w:val="center"/>
              <w:rPr>
                <w:b/>
                <w:bCs/>
                <w:color w:val="000000"/>
                <w:sz w:val="16"/>
                <w:szCs w:val="16"/>
              </w:rPr>
            </w:pPr>
            <w:r>
              <w:rPr>
                <w:b/>
                <w:bCs/>
                <w:color w:val="000000"/>
                <w:sz w:val="16"/>
                <w:szCs w:val="16"/>
              </w:rPr>
              <w:t>218</w:t>
            </w:r>
          </w:p>
        </w:tc>
        <w:tc>
          <w:tcPr>
            <w:tcW w:w="478" w:type="pct"/>
            <w:tcBorders>
              <w:top w:val="nil"/>
              <w:left w:val="nil"/>
              <w:bottom w:val="single" w:sz="4" w:space="0" w:color="0093D0"/>
              <w:right w:val="nil"/>
            </w:tcBorders>
            <w:shd w:val="clear" w:color="auto" w:fill="auto"/>
            <w:noWrap/>
            <w:vAlign w:val="center"/>
            <w:hideMark/>
          </w:tcPr>
          <w:p w:rsidR="006E681D" w:rsidRDefault="006E681D" w:rsidP="006E681D">
            <w:pPr>
              <w:spacing w:after="0" w:line="240" w:lineRule="auto"/>
              <w:jc w:val="center"/>
              <w:rPr>
                <w:b/>
                <w:bCs/>
                <w:color w:val="000000"/>
                <w:sz w:val="16"/>
                <w:szCs w:val="16"/>
              </w:rPr>
            </w:pPr>
            <w:r>
              <w:rPr>
                <w:b/>
                <w:bCs/>
                <w:color w:val="000000"/>
                <w:sz w:val="16"/>
                <w:szCs w:val="16"/>
              </w:rPr>
              <w:t>222</w:t>
            </w:r>
          </w:p>
        </w:tc>
        <w:tc>
          <w:tcPr>
            <w:tcW w:w="411" w:type="pct"/>
            <w:tcBorders>
              <w:top w:val="nil"/>
              <w:left w:val="nil"/>
              <w:bottom w:val="single" w:sz="4" w:space="0" w:color="0093D0"/>
              <w:right w:val="nil"/>
            </w:tcBorders>
            <w:shd w:val="clear" w:color="auto" w:fill="auto"/>
            <w:noWrap/>
            <w:vAlign w:val="center"/>
            <w:hideMark/>
          </w:tcPr>
          <w:p w:rsidR="006E681D" w:rsidRDefault="006E681D" w:rsidP="006E681D">
            <w:pPr>
              <w:spacing w:after="0" w:line="240" w:lineRule="auto"/>
              <w:jc w:val="center"/>
              <w:rPr>
                <w:b/>
                <w:bCs/>
                <w:color w:val="000000"/>
                <w:sz w:val="16"/>
                <w:szCs w:val="16"/>
              </w:rPr>
            </w:pPr>
            <w:r>
              <w:rPr>
                <w:b/>
                <w:bCs/>
                <w:color w:val="000000"/>
                <w:sz w:val="16"/>
                <w:szCs w:val="16"/>
              </w:rPr>
              <w:t>200</w:t>
            </w:r>
          </w:p>
        </w:tc>
        <w:tc>
          <w:tcPr>
            <w:tcW w:w="411" w:type="pct"/>
            <w:tcBorders>
              <w:top w:val="nil"/>
              <w:left w:val="nil"/>
              <w:bottom w:val="single" w:sz="4" w:space="0" w:color="0093D0"/>
              <w:right w:val="nil"/>
            </w:tcBorders>
            <w:shd w:val="clear" w:color="auto" w:fill="auto"/>
            <w:noWrap/>
            <w:vAlign w:val="center"/>
            <w:hideMark/>
          </w:tcPr>
          <w:p w:rsidR="006E681D" w:rsidRDefault="006E681D" w:rsidP="006E681D">
            <w:pPr>
              <w:spacing w:after="0" w:line="240" w:lineRule="auto"/>
              <w:jc w:val="center"/>
              <w:rPr>
                <w:b/>
                <w:bCs/>
                <w:color w:val="000000"/>
                <w:sz w:val="16"/>
                <w:szCs w:val="16"/>
              </w:rPr>
            </w:pPr>
            <w:r>
              <w:rPr>
                <w:b/>
                <w:bCs/>
                <w:color w:val="000000"/>
                <w:sz w:val="16"/>
                <w:szCs w:val="16"/>
              </w:rPr>
              <w:t>250</w:t>
            </w:r>
          </w:p>
        </w:tc>
        <w:tc>
          <w:tcPr>
            <w:tcW w:w="411" w:type="pct"/>
            <w:tcBorders>
              <w:top w:val="nil"/>
              <w:left w:val="nil"/>
              <w:bottom w:val="single" w:sz="4" w:space="0" w:color="0093D0"/>
              <w:right w:val="nil"/>
            </w:tcBorders>
            <w:shd w:val="clear" w:color="auto" w:fill="auto"/>
            <w:noWrap/>
            <w:vAlign w:val="center"/>
            <w:hideMark/>
          </w:tcPr>
          <w:p w:rsidR="006E681D" w:rsidRDefault="006E681D" w:rsidP="006E681D">
            <w:pPr>
              <w:spacing w:after="0" w:line="240" w:lineRule="auto"/>
              <w:jc w:val="center"/>
              <w:rPr>
                <w:b/>
                <w:bCs/>
                <w:color w:val="000000"/>
                <w:sz w:val="16"/>
                <w:szCs w:val="16"/>
              </w:rPr>
            </w:pPr>
            <w:r>
              <w:rPr>
                <w:b/>
                <w:bCs/>
                <w:color w:val="000000"/>
                <w:sz w:val="16"/>
                <w:szCs w:val="16"/>
              </w:rPr>
              <w:t>230</w:t>
            </w:r>
          </w:p>
        </w:tc>
        <w:tc>
          <w:tcPr>
            <w:tcW w:w="412" w:type="pct"/>
            <w:tcBorders>
              <w:top w:val="nil"/>
              <w:left w:val="nil"/>
              <w:bottom w:val="single" w:sz="4" w:space="0" w:color="0093D0"/>
              <w:right w:val="nil"/>
            </w:tcBorders>
            <w:shd w:val="clear" w:color="auto" w:fill="auto"/>
            <w:noWrap/>
            <w:vAlign w:val="center"/>
            <w:hideMark/>
          </w:tcPr>
          <w:p w:rsidR="006E681D" w:rsidRDefault="006E681D" w:rsidP="006E681D">
            <w:pPr>
              <w:spacing w:after="0" w:line="240" w:lineRule="auto"/>
              <w:jc w:val="center"/>
              <w:rPr>
                <w:b/>
                <w:bCs/>
                <w:color w:val="000000"/>
                <w:sz w:val="16"/>
                <w:szCs w:val="16"/>
              </w:rPr>
            </w:pPr>
            <w:r>
              <w:rPr>
                <w:b/>
                <w:bCs/>
                <w:color w:val="000000"/>
                <w:sz w:val="16"/>
                <w:szCs w:val="16"/>
              </w:rPr>
              <w:t>228</w:t>
            </w:r>
          </w:p>
        </w:tc>
        <w:tc>
          <w:tcPr>
            <w:tcW w:w="414" w:type="pct"/>
            <w:tcBorders>
              <w:top w:val="nil"/>
              <w:left w:val="nil"/>
              <w:bottom w:val="single" w:sz="4" w:space="0" w:color="0093D0"/>
              <w:right w:val="nil"/>
            </w:tcBorders>
            <w:shd w:val="clear" w:color="auto" w:fill="auto"/>
            <w:noWrap/>
            <w:vAlign w:val="center"/>
            <w:hideMark/>
          </w:tcPr>
          <w:p w:rsidR="006E681D" w:rsidRDefault="006E681D" w:rsidP="006E681D">
            <w:pPr>
              <w:spacing w:after="0" w:line="240" w:lineRule="auto"/>
              <w:jc w:val="center"/>
              <w:rPr>
                <w:b/>
                <w:bCs/>
                <w:color w:val="000000"/>
                <w:sz w:val="16"/>
                <w:szCs w:val="16"/>
              </w:rPr>
            </w:pPr>
            <w:r>
              <w:rPr>
                <w:b/>
                <w:bCs/>
                <w:color w:val="000000"/>
                <w:sz w:val="16"/>
                <w:szCs w:val="16"/>
              </w:rPr>
              <w:t>250</w:t>
            </w:r>
          </w:p>
        </w:tc>
        <w:tc>
          <w:tcPr>
            <w:tcW w:w="468" w:type="pct"/>
            <w:tcBorders>
              <w:top w:val="nil"/>
              <w:left w:val="nil"/>
              <w:bottom w:val="single" w:sz="4" w:space="0" w:color="0093D0"/>
              <w:right w:val="nil"/>
            </w:tcBorders>
            <w:shd w:val="clear" w:color="auto" w:fill="auto"/>
            <w:noWrap/>
            <w:vAlign w:val="center"/>
            <w:hideMark/>
          </w:tcPr>
          <w:p w:rsidR="006E681D" w:rsidRDefault="006E681D" w:rsidP="006E681D">
            <w:pPr>
              <w:spacing w:after="0" w:line="240" w:lineRule="auto"/>
              <w:jc w:val="center"/>
              <w:rPr>
                <w:b/>
                <w:bCs/>
                <w:color w:val="000000"/>
                <w:sz w:val="16"/>
                <w:szCs w:val="16"/>
              </w:rPr>
            </w:pPr>
            <w:r>
              <w:rPr>
                <w:b/>
                <w:bCs/>
                <w:color w:val="000000"/>
                <w:sz w:val="16"/>
                <w:szCs w:val="16"/>
              </w:rPr>
              <w:t>1,389</w:t>
            </w:r>
          </w:p>
        </w:tc>
        <w:tc>
          <w:tcPr>
            <w:tcW w:w="469" w:type="pct"/>
            <w:tcBorders>
              <w:top w:val="nil"/>
              <w:left w:val="nil"/>
              <w:bottom w:val="single" w:sz="4" w:space="0" w:color="0093D0"/>
              <w:right w:val="nil"/>
            </w:tcBorders>
            <w:shd w:val="clear" w:color="auto" w:fill="auto"/>
            <w:noWrap/>
            <w:vAlign w:val="center"/>
            <w:hideMark/>
          </w:tcPr>
          <w:p w:rsidR="006E681D" w:rsidRDefault="006E681D" w:rsidP="006E681D">
            <w:pPr>
              <w:spacing w:after="0" w:line="240" w:lineRule="auto"/>
              <w:jc w:val="center"/>
              <w:rPr>
                <w:b/>
                <w:bCs/>
                <w:color w:val="000000"/>
                <w:sz w:val="16"/>
                <w:szCs w:val="16"/>
              </w:rPr>
            </w:pPr>
            <w:r>
              <w:rPr>
                <w:b/>
                <w:bCs/>
                <w:color w:val="000000"/>
                <w:sz w:val="16"/>
                <w:szCs w:val="16"/>
              </w:rPr>
              <w:t>20</w:t>
            </w:r>
          </w:p>
        </w:tc>
        <w:tc>
          <w:tcPr>
            <w:tcW w:w="541" w:type="pct"/>
            <w:tcBorders>
              <w:top w:val="nil"/>
              <w:left w:val="nil"/>
              <w:bottom w:val="single" w:sz="4" w:space="0" w:color="0093D0"/>
              <w:right w:val="nil"/>
            </w:tcBorders>
            <w:vAlign w:val="center"/>
          </w:tcPr>
          <w:p w:rsidR="006E681D" w:rsidRPr="00147005" w:rsidRDefault="006E681D" w:rsidP="006E681D">
            <w:pPr>
              <w:spacing w:after="0" w:line="240" w:lineRule="auto"/>
              <w:jc w:val="center"/>
              <w:rPr>
                <w:rFonts w:eastAsia="Times New Roman"/>
                <w:b/>
                <w:bCs/>
                <w:color w:val="000000"/>
                <w:sz w:val="16"/>
                <w:szCs w:val="20"/>
                <w:lang w:eastAsia="en-AU"/>
              </w:rPr>
            </w:pPr>
            <w:r w:rsidRPr="006E681D">
              <w:rPr>
                <w:rFonts w:eastAsia="Times New Roman"/>
                <w:b/>
                <w:bCs/>
                <w:color w:val="000000"/>
                <w:sz w:val="16"/>
                <w:szCs w:val="20"/>
                <w:lang w:eastAsia="en-AU"/>
              </w:rPr>
              <w:t>230 – 270</w:t>
            </w:r>
          </w:p>
        </w:tc>
      </w:tr>
    </w:tbl>
    <w:p w:rsidR="00EE00DE" w:rsidRPr="003A4303" w:rsidRDefault="00EE00DE" w:rsidP="00EE00DE">
      <w:pPr>
        <w:pStyle w:val="MJAnormal"/>
      </w:pPr>
    </w:p>
    <w:p w:rsidR="00EE00DE" w:rsidRDefault="00EE00DE" w:rsidP="00EE00DE">
      <w:pPr>
        <w:pStyle w:val="Caption"/>
      </w:pPr>
      <w:bookmarkStart w:id="19" w:name="_Toc426386638"/>
      <w:r>
        <w:t xml:space="preserve">Figure </w:t>
      </w:r>
      <w:r w:rsidR="00C23339">
        <w:fldChar w:fldCharType="begin"/>
      </w:r>
      <w:r w:rsidR="00134558">
        <w:instrText xml:space="preserve"> SEQ Figure \* ARABIC </w:instrText>
      </w:r>
      <w:r w:rsidR="00C23339">
        <w:fldChar w:fldCharType="separate"/>
      </w:r>
      <w:r w:rsidR="00E00DC7">
        <w:rPr>
          <w:noProof/>
        </w:rPr>
        <w:t>8</w:t>
      </w:r>
      <w:r w:rsidR="00C23339">
        <w:rPr>
          <w:noProof/>
        </w:rPr>
        <w:fldChar w:fldCharType="end"/>
      </w:r>
      <w:r>
        <w:t>: Entitlement market price range by volume</w:t>
      </w:r>
      <w:bookmarkEnd w:id="19"/>
    </w:p>
    <w:p w:rsidR="00BB0B21" w:rsidRPr="00BB0B21" w:rsidRDefault="006E681D" w:rsidP="00BB0B21">
      <w:r>
        <w:rPr>
          <w:noProof/>
          <w:lang w:eastAsia="en-AU"/>
        </w:rPr>
        <w:drawing>
          <wp:inline distT="0" distB="0" distL="0" distR="0">
            <wp:extent cx="5760000" cy="207310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073101"/>
                    </a:xfrm>
                    <a:prstGeom prst="rect">
                      <a:avLst/>
                    </a:prstGeom>
                    <a:noFill/>
                  </pic:spPr>
                </pic:pic>
              </a:graphicData>
            </a:graphic>
          </wp:inline>
        </w:drawing>
      </w:r>
    </w:p>
    <w:p w:rsidR="00BF578C" w:rsidRPr="00BF578C" w:rsidRDefault="00BF578C" w:rsidP="002D50B8">
      <w:pPr>
        <w:pStyle w:val="MJAsource"/>
        <w:rPr>
          <w:b/>
          <w:szCs w:val="18"/>
        </w:rPr>
      </w:pPr>
    </w:p>
    <w:p w:rsidR="00EE00DE" w:rsidRPr="00564276" w:rsidRDefault="002D50B8" w:rsidP="002D50B8">
      <w:pPr>
        <w:pStyle w:val="MJAsource"/>
        <w:rPr>
          <w:sz w:val="16"/>
        </w:rPr>
      </w:pPr>
      <w:r w:rsidRPr="00AE33C7">
        <w:rPr>
          <w:b/>
          <w:sz w:val="16"/>
          <w:szCs w:val="16"/>
        </w:rPr>
        <w:t>Data Sources:</w:t>
      </w:r>
      <w:r w:rsidRPr="00AE33C7">
        <w:rPr>
          <w:sz w:val="16"/>
          <w:szCs w:val="16"/>
        </w:rPr>
        <w:t xml:space="preserve"> VIC Water Register (waterregister.vic.gov.au/water-trading/water-share-trading), National Water Exchange </w:t>
      </w:r>
      <w:r w:rsidR="000A37A8" w:rsidRPr="00AE33C7">
        <w:rPr>
          <w:sz w:val="16"/>
          <w:szCs w:val="16"/>
        </w:rPr>
        <w:t>(</w:t>
      </w:r>
      <w:hyperlink r:id="rId34" w:history="1">
        <w:r w:rsidR="000A37A8" w:rsidRPr="00631B5E">
          <w:rPr>
            <w:rStyle w:val="Hyperlink"/>
            <w:sz w:val="16"/>
          </w:rPr>
          <w:t>www.waterexchange.com.au</w:t>
        </w:r>
      </w:hyperlink>
      <w:r w:rsidR="000A37A8" w:rsidRPr="00F17E80">
        <w:rPr>
          <w:sz w:val="16"/>
        </w:rPr>
        <w:t xml:space="preserve">), </w:t>
      </w:r>
      <w:proofErr w:type="spellStart"/>
      <w:r w:rsidR="000A37A8" w:rsidRPr="00F17E80">
        <w:rPr>
          <w:sz w:val="16"/>
        </w:rPr>
        <w:t>Waterfind</w:t>
      </w:r>
      <w:proofErr w:type="spellEnd"/>
      <w:r w:rsidR="000A37A8" w:rsidRPr="00F17E80">
        <w:rPr>
          <w:sz w:val="16"/>
        </w:rPr>
        <w:t xml:space="preserve"> (</w:t>
      </w:r>
      <w:hyperlink r:id="rId35" w:history="1">
        <w:r w:rsidR="000A37A8" w:rsidRPr="00F17E80">
          <w:rPr>
            <w:rStyle w:val="Hyperlink"/>
            <w:sz w:val="16"/>
          </w:rPr>
          <w:t>www.waterfind.com.au</w:t>
        </w:r>
      </w:hyperlink>
      <w:r w:rsidR="000A37A8" w:rsidRPr="00F17E80">
        <w:rPr>
          <w:sz w:val="16"/>
        </w:rPr>
        <w:t>)</w:t>
      </w:r>
      <w:r w:rsidR="000A37A8">
        <w:rPr>
          <w:sz w:val="16"/>
        </w:rPr>
        <w:t>, H2OX (</w:t>
      </w:r>
      <w:hyperlink r:id="rId36" w:history="1">
        <w:r w:rsidR="000A37A8" w:rsidRPr="00631B5E">
          <w:rPr>
            <w:rStyle w:val="Hyperlink"/>
            <w:sz w:val="16"/>
          </w:rPr>
          <w:t>www.h2ox.com</w:t>
        </w:r>
      </w:hyperlink>
      <w:r w:rsidR="000A37A8">
        <w:rPr>
          <w:sz w:val="16"/>
        </w:rPr>
        <w:t xml:space="preserve">) </w:t>
      </w:r>
      <w:r w:rsidR="00EE00DE" w:rsidRPr="00564276">
        <w:rPr>
          <w:sz w:val="16"/>
        </w:rPr>
        <w:br w:type="page"/>
      </w:r>
    </w:p>
    <w:p w:rsidR="00EE00DE" w:rsidRDefault="00EE00DE" w:rsidP="00EE00DE">
      <w:pPr>
        <w:pStyle w:val="MJAheading2"/>
      </w:pPr>
      <w:bookmarkStart w:id="20" w:name="_Toc441834746"/>
      <w:r>
        <w:t>VIC Murray below Barmah Choke: High Reliability</w:t>
      </w:r>
      <w:bookmarkEnd w:id="20"/>
    </w:p>
    <w:p w:rsidR="00EE00DE" w:rsidRDefault="00EE00DE" w:rsidP="00EE00DE">
      <w:pPr>
        <w:pStyle w:val="Caption"/>
      </w:pPr>
      <w:bookmarkStart w:id="21" w:name="_Toc426386639"/>
      <w:r>
        <w:t xml:space="preserve">Figure </w:t>
      </w:r>
      <w:r w:rsidR="00C23339">
        <w:fldChar w:fldCharType="begin"/>
      </w:r>
      <w:r w:rsidR="00134558">
        <w:instrText xml:space="preserve"> SEQ Figure \* ARABIC </w:instrText>
      </w:r>
      <w:r w:rsidR="00C23339">
        <w:fldChar w:fldCharType="separate"/>
      </w:r>
      <w:r w:rsidR="00E00DC7">
        <w:rPr>
          <w:noProof/>
        </w:rPr>
        <w:t>9</w:t>
      </w:r>
      <w:r w:rsidR="00C23339">
        <w:rPr>
          <w:noProof/>
        </w:rPr>
        <w:fldChar w:fldCharType="end"/>
      </w:r>
      <w:r>
        <w:t>: Entitlement market prices and volumes</w:t>
      </w:r>
      <w:bookmarkEnd w:id="21"/>
    </w:p>
    <w:p w:rsidR="00EE00DE" w:rsidRPr="00373CA6" w:rsidRDefault="00373CA6" w:rsidP="00373CA6">
      <w:pPr>
        <w:pStyle w:val="MJAnormal"/>
      </w:pPr>
      <w:r w:rsidRPr="00373CA6">
        <w:rPr>
          <w:noProof/>
          <w:lang w:eastAsia="en-AU"/>
        </w:rPr>
        <w:drawing>
          <wp:inline distT="0" distB="0" distL="0" distR="0">
            <wp:extent cx="5760000" cy="27905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EE00DE" w:rsidRPr="00373CA6" w:rsidRDefault="00EE00DE" w:rsidP="00373CA6">
      <w:pPr>
        <w:pStyle w:val="MJAnormal"/>
      </w:pPr>
    </w:p>
    <w:p w:rsidR="00EE00DE" w:rsidRDefault="00EE00DE" w:rsidP="00EE00DE">
      <w:pPr>
        <w:pStyle w:val="Caption"/>
      </w:pPr>
      <w:bookmarkStart w:id="22" w:name="_Toc426386581"/>
      <w:r>
        <w:t xml:space="preserve">Table </w:t>
      </w:r>
      <w:r w:rsidR="00C23339">
        <w:fldChar w:fldCharType="begin"/>
      </w:r>
      <w:r w:rsidR="00134558">
        <w:instrText xml:space="preserve"> SEQ Table \* ARABIC </w:instrText>
      </w:r>
      <w:r w:rsidR="00C23339">
        <w:fldChar w:fldCharType="separate"/>
      </w:r>
      <w:r w:rsidR="00E00DC7">
        <w:rPr>
          <w:noProof/>
        </w:rPr>
        <w:t>5</w:t>
      </w:r>
      <w:r w:rsidR="00C23339">
        <w:rPr>
          <w:noProof/>
        </w:rPr>
        <w:fldChar w:fldCharType="end"/>
      </w:r>
      <w:r>
        <w:t>: Entitlement market prices and volumes</w:t>
      </w:r>
      <w:bookmarkEnd w:id="22"/>
    </w:p>
    <w:tbl>
      <w:tblPr>
        <w:tblW w:w="9354" w:type="dxa"/>
        <w:tblLayout w:type="fixed"/>
        <w:tblCellMar>
          <w:left w:w="28" w:type="dxa"/>
          <w:right w:w="28" w:type="dxa"/>
        </w:tblCellMar>
        <w:tblLook w:val="04A0"/>
      </w:tblPr>
      <w:tblGrid>
        <w:gridCol w:w="875"/>
        <w:gridCol w:w="912"/>
        <w:gridCol w:w="868"/>
        <w:gridCol w:w="779"/>
        <w:gridCol w:w="779"/>
        <w:gridCol w:w="779"/>
        <w:gridCol w:w="779"/>
        <w:gridCol w:w="784"/>
        <w:gridCol w:w="887"/>
        <w:gridCol w:w="887"/>
        <w:gridCol w:w="1025"/>
      </w:tblGrid>
      <w:tr w:rsidR="00B76B7E" w:rsidRPr="00147005" w:rsidTr="00E873CF">
        <w:trPr>
          <w:trHeight w:val="525"/>
        </w:trPr>
        <w:tc>
          <w:tcPr>
            <w:tcW w:w="2655" w:type="dxa"/>
            <w:gridSpan w:val="3"/>
            <w:tcBorders>
              <w:top w:val="nil"/>
              <w:left w:val="nil"/>
              <w:bottom w:val="nil"/>
              <w:right w:val="nil"/>
            </w:tcBorders>
            <w:shd w:val="clear" w:color="000000" w:fill="0093D0"/>
            <w:noWrap/>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3900" w:type="dxa"/>
            <w:gridSpan w:val="5"/>
            <w:tcBorders>
              <w:top w:val="nil"/>
              <w:left w:val="single" w:sz="4" w:space="0" w:color="C5D9F1"/>
              <w:bottom w:val="nil"/>
              <w:right w:val="single" w:sz="4" w:space="0" w:color="C5D9F1"/>
            </w:tcBorders>
            <w:shd w:val="clear" w:color="000000" w:fill="0093D0"/>
            <w:noWrap/>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B76B7E" w:rsidRPr="00147005">
              <w:rPr>
                <w:rFonts w:eastAsia="Times New Roman"/>
                <w:b/>
                <w:bCs/>
                <w:color w:val="FFFFFF"/>
                <w:sz w:val="16"/>
                <w:szCs w:val="20"/>
                <w:lang w:eastAsia="en-AU"/>
              </w:rPr>
              <w:t xml:space="preserve"> 2015 Quarter (in $/ML)</w:t>
            </w:r>
          </w:p>
        </w:tc>
        <w:tc>
          <w:tcPr>
            <w:tcW w:w="887" w:type="dxa"/>
            <w:vMerge w:val="restart"/>
            <w:tcBorders>
              <w:top w:val="nil"/>
              <w:left w:val="single" w:sz="4" w:space="0" w:color="C5D9F1"/>
              <w:right w:val="nil"/>
            </w:tcBorders>
            <w:shd w:val="clear" w:color="000000" w:fill="0093D0"/>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B76B7E">
              <w:rPr>
                <w:rFonts w:eastAsia="Times New Roman"/>
                <w:b/>
                <w:bCs/>
                <w:color w:val="FFFFFF"/>
                <w:sz w:val="16"/>
                <w:szCs w:val="20"/>
                <w:lang w:eastAsia="en-AU"/>
              </w:rPr>
              <w:t xml:space="preserve"> </w:t>
            </w:r>
            <w:r w:rsidR="00B76B7E" w:rsidRPr="00147005">
              <w:rPr>
                <w:rFonts w:eastAsia="Times New Roman"/>
                <w:b/>
                <w:bCs/>
                <w:color w:val="FFFFFF"/>
                <w:sz w:val="16"/>
                <w:szCs w:val="20"/>
                <w:lang w:eastAsia="en-AU"/>
              </w:rPr>
              <w:t>2015 Quarter Volume</w:t>
            </w:r>
            <w:r w:rsidR="00B76B7E">
              <w:rPr>
                <w:rFonts w:eastAsia="Times New Roman"/>
                <w:b/>
                <w:bCs/>
                <w:color w:val="FFFFFF"/>
                <w:sz w:val="16"/>
                <w:szCs w:val="20"/>
                <w:lang w:eastAsia="en-AU"/>
              </w:rPr>
              <w:t xml:space="preserve"> (ML)</w:t>
            </w:r>
          </w:p>
        </w:tc>
        <w:tc>
          <w:tcPr>
            <w:tcW w:w="887" w:type="dxa"/>
            <w:vMerge w:val="restart"/>
            <w:tcBorders>
              <w:top w:val="nil"/>
              <w:left w:val="nil"/>
              <w:right w:val="nil"/>
            </w:tcBorders>
            <w:shd w:val="clear" w:color="000000" w:fill="0093D0"/>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B76B7E" w:rsidRPr="00147005">
              <w:rPr>
                <w:rFonts w:eastAsia="Times New Roman"/>
                <w:b/>
                <w:bCs/>
                <w:color w:val="FFFFFF"/>
                <w:sz w:val="16"/>
                <w:szCs w:val="20"/>
                <w:lang w:eastAsia="en-AU"/>
              </w:rPr>
              <w:t xml:space="preserve"> 2015 Quarter # of trades</w:t>
            </w:r>
          </w:p>
        </w:tc>
        <w:tc>
          <w:tcPr>
            <w:tcW w:w="1025" w:type="dxa"/>
            <w:vMerge w:val="restart"/>
            <w:tcBorders>
              <w:top w:val="nil"/>
              <w:left w:val="nil"/>
              <w:right w:val="nil"/>
            </w:tcBorders>
            <w:shd w:val="clear" w:color="000000" w:fill="0093D0"/>
            <w:vAlign w:val="center"/>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B76B7E" w:rsidRPr="00147005" w:rsidTr="00BB0B21">
        <w:trPr>
          <w:trHeight w:val="552"/>
        </w:trPr>
        <w:tc>
          <w:tcPr>
            <w:tcW w:w="875" w:type="dxa"/>
            <w:tcBorders>
              <w:top w:val="nil"/>
              <w:left w:val="nil"/>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912" w:type="dxa"/>
            <w:tcBorders>
              <w:top w:val="nil"/>
              <w:left w:val="nil"/>
              <w:bottom w:val="nil"/>
              <w:right w:val="nil"/>
            </w:tcBorders>
            <w:shd w:val="clear" w:color="000000" w:fill="0093D0"/>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B76B7E" w:rsidRPr="00147005">
              <w:rPr>
                <w:rFonts w:eastAsia="Times New Roman"/>
                <w:b/>
                <w:bCs/>
                <w:color w:val="FFFFFF"/>
                <w:sz w:val="16"/>
                <w:szCs w:val="20"/>
                <w:lang w:eastAsia="en-AU"/>
              </w:rPr>
              <w:t xml:space="preserve"> 2015 Quarter</w:t>
            </w:r>
          </w:p>
        </w:tc>
        <w:tc>
          <w:tcPr>
            <w:tcW w:w="868" w:type="dxa"/>
            <w:tcBorders>
              <w:top w:val="nil"/>
              <w:left w:val="nil"/>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779" w:type="dxa"/>
            <w:tcBorders>
              <w:top w:val="nil"/>
              <w:left w:val="single" w:sz="4" w:space="0" w:color="C5D9F1"/>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779" w:type="dxa"/>
            <w:tcBorders>
              <w:top w:val="nil"/>
              <w:left w:val="nil"/>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779" w:type="dxa"/>
            <w:tcBorders>
              <w:top w:val="nil"/>
              <w:left w:val="nil"/>
              <w:bottom w:val="nil"/>
              <w:right w:val="nil"/>
            </w:tcBorders>
            <w:shd w:val="clear" w:color="000000" w:fill="0093D0"/>
            <w:vAlign w:val="center"/>
            <w:hideMark/>
          </w:tcPr>
          <w:p w:rsidR="00B76B7E" w:rsidRPr="00147005" w:rsidRDefault="00F94000"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Median</w:t>
            </w:r>
          </w:p>
        </w:tc>
        <w:tc>
          <w:tcPr>
            <w:tcW w:w="779" w:type="dxa"/>
            <w:tcBorders>
              <w:top w:val="nil"/>
              <w:left w:val="nil"/>
              <w:bottom w:val="nil"/>
              <w:right w:val="nil"/>
            </w:tcBorders>
            <w:shd w:val="clear" w:color="000000" w:fill="0093D0"/>
            <w:vAlign w:val="center"/>
            <w:hideMark/>
          </w:tcPr>
          <w:p w:rsidR="00B76B7E" w:rsidRPr="00147005" w:rsidRDefault="00F94000"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Mean</w:t>
            </w:r>
          </w:p>
        </w:tc>
        <w:tc>
          <w:tcPr>
            <w:tcW w:w="784" w:type="dxa"/>
            <w:tcBorders>
              <w:top w:val="nil"/>
              <w:left w:val="nil"/>
              <w:bottom w:val="nil"/>
              <w:right w:val="single" w:sz="4" w:space="0" w:color="C5D9F1"/>
            </w:tcBorders>
            <w:shd w:val="clear" w:color="000000" w:fill="0093D0"/>
            <w:vAlign w:val="center"/>
            <w:hideMark/>
          </w:tcPr>
          <w:p w:rsidR="00B76B7E" w:rsidRPr="00147005" w:rsidRDefault="00F94000"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Mode</w:t>
            </w:r>
          </w:p>
        </w:tc>
        <w:tc>
          <w:tcPr>
            <w:tcW w:w="887" w:type="dxa"/>
            <w:vMerge/>
            <w:tcBorders>
              <w:left w:val="single" w:sz="4" w:space="0" w:color="C5D9F1"/>
              <w:bottom w:val="nil"/>
              <w:right w:val="nil"/>
            </w:tcBorders>
            <w:vAlign w:val="center"/>
            <w:hideMark/>
          </w:tcPr>
          <w:p w:rsidR="00B76B7E" w:rsidRPr="00147005" w:rsidRDefault="00B76B7E" w:rsidP="00B76B7E">
            <w:pPr>
              <w:spacing w:after="0" w:line="240" w:lineRule="auto"/>
              <w:rPr>
                <w:rFonts w:eastAsia="Times New Roman"/>
                <w:b/>
                <w:bCs/>
                <w:color w:val="FFFFFF"/>
                <w:sz w:val="16"/>
                <w:szCs w:val="20"/>
                <w:lang w:eastAsia="en-AU"/>
              </w:rPr>
            </w:pPr>
          </w:p>
        </w:tc>
        <w:tc>
          <w:tcPr>
            <w:tcW w:w="887" w:type="dxa"/>
            <w:vMerge/>
            <w:tcBorders>
              <w:left w:val="nil"/>
              <w:bottom w:val="nil"/>
              <w:right w:val="nil"/>
            </w:tcBorders>
            <w:vAlign w:val="center"/>
            <w:hideMark/>
          </w:tcPr>
          <w:p w:rsidR="00B76B7E" w:rsidRPr="00147005" w:rsidRDefault="00B76B7E" w:rsidP="00B76B7E">
            <w:pPr>
              <w:spacing w:after="0" w:line="240" w:lineRule="auto"/>
              <w:rPr>
                <w:rFonts w:eastAsia="Times New Roman"/>
                <w:b/>
                <w:bCs/>
                <w:color w:val="FFFFFF"/>
                <w:sz w:val="16"/>
                <w:szCs w:val="20"/>
                <w:lang w:eastAsia="en-AU"/>
              </w:rPr>
            </w:pPr>
          </w:p>
        </w:tc>
        <w:tc>
          <w:tcPr>
            <w:tcW w:w="1025" w:type="dxa"/>
            <w:vMerge/>
            <w:tcBorders>
              <w:left w:val="nil"/>
              <w:bottom w:val="nil"/>
              <w:right w:val="nil"/>
            </w:tcBorders>
            <w:vAlign w:val="center"/>
          </w:tcPr>
          <w:p w:rsidR="00B76B7E" w:rsidRPr="00147005" w:rsidRDefault="00B76B7E" w:rsidP="00B76B7E">
            <w:pPr>
              <w:spacing w:after="0" w:line="240" w:lineRule="auto"/>
              <w:rPr>
                <w:rFonts w:eastAsia="Times New Roman"/>
                <w:b/>
                <w:bCs/>
                <w:color w:val="FFFFFF"/>
                <w:sz w:val="16"/>
                <w:szCs w:val="20"/>
                <w:lang w:eastAsia="en-AU"/>
              </w:rPr>
            </w:pPr>
          </w:p>
        </w:tc>
      </w:tr>
      <w:tr w:rsidR="00373CA6" w:rsidRPr="00147005" w:rsidTr="00E873CF">
        <w:trPr>
          <w:trHeight w:val="555"/>
        </w:trPr>
        <w:tc>
          <w:tcPr>
            <w:tcW w:w="875" w:type="dxa"/>
            <w:tcBorders>
              <w:top w:val="nil"/>
              <w:left w:val="nil"/>
              <w:bottom w:val="single" w:sz="4" w:space="0" w:color="0093D0"/>
              <w:right w:val="nil"/>
            </w:tcBorders>
            <w:shd w:val="clear" w:color="auto" w:fill="auto"/>
            <w:noWrap/>
            <w:vAlign w:val="center"/>
            <w:hideMark/>
          </w:tcPr>
          <w:p w:rsidR="00373CA6" w:rsidRDefault="00373CA6" w:rsidP="00373CA6">
            <w:pPr>
              <w:spacing w:after="0" w:line="240" w:lineRule="auto"/>
              <w:jc w:val="center"/>
              <w:rPr>
                <w:b/>
                <w:bCs/>
                <w:color w:val="000000"/>
                <w:sz w:val="16"/>
                <w:szCs w:val="16"/>
                <w:lang w:eastAsia="en-AU"/>
              </w:rPr>
            </w:pPr>
            <w:r>
              <w:rPr>
                <w:b/>
                <w:bCs/>
                <w:color w:val="000000"/>
                <w:sz w:val="16"/>
                <w:szCs w:val="16"/>
              </w:rPr>
              <w:t>2,645</w:t>
            </w:r>
          </w:p>
        </w:tc>
        <w:tc>
          <w:tcPr>
            <w:tcW w:w="912" w:type="dxa"/>
            <w:tcBorders>
              <w:top w:val="nil"/>
              <w:left w:val="nil"/>
              <w:bottom w:val="single" w:sz="4" w:space="0" w:color="0093D0"/>
              <w:right w:val="nil"/>
            </w:tcBorders>
            <w:shd w:val="clear" w:color="auto" w:fill="auto"/>
            <w:noWrap/>
            <w:vAlign w:val="center"/>
            <w:hideMark/>
          </w:tcPr>
          <w:p w:rsidR="00373CA6" w:rsidRDefault="00373CA6" w:rsidP="00373CA6">
            <w:pPr>
              <w:spacing w:after="0" w:line="240" w:lineRule="auto"/>
              <w:jc w:val="center"/>
              <w:rPr>
                <w:b/>
                <w:bCs/>
                <w:color w:val="000000"/>
                <w:sz w:val="16"/>
                <w:szCs w:val="16"/>
              </w:rPr>
            </w:pPr>
            <w:r>
              <w:rPr>
                <w:b/>
                <w:bCs/>
                <w:color w:val="000000"/>
                <w:sz w:val="16"/>
                <w:szCs w:val="16"/>
              </w:rPr>
              <w:t>2,551</w:t>
            </w:r>
          </w:p>
        </w:tc>
        <w:tc>
          <w:tcPr>
            <w:tcW w:w="868" w:type="dxa"/>
            <w:tcBorders>
              <w:top w:val="nil"/>
              <w:left w:val="nil"/>
              <w:bottom w:val="single" w:sz="4" w:space="0" w:color="0093D0"/>
              <w:right w:val="nil"/>
            </w:tcBorders>
            <w:shd w:val="clear" w:color="auto" w:fill="auto"/>
            <w:noWrap/>
            <w:vAlign w:val="center"/>
            <w:hideMark/>
          </w:tcPr>
          <w:p w:rsidR="00373CA6" w:rsidRDefault="00373CA6" w:rsidP="00373CA6">
            <w:pPr>
              <w:spacing w:after="0" w:line="240" w:lineRule="auto"/>
              <w:jc w:val="center"/>
              <w:rPr>
                <w:b/>
                <w:bCs/>
                <w:color w:val="000000"/>
                <w:sz w:val="16"/>
                <w:szCs w:val="16"/>
              </w:rPr>
            </w:pPr>
            <w:r>
              <w:rPr>
                <w:b/>
                <w:bCs/>
                <w:color w:val="000000"/>
                <w:sz w:val="16"/>
                <w:szCs w:val="16"/>
              </w:rPr>
              <w:t>2,433</w:t>
            </w:r>
          </w:p>
        </w:tc>
        <w:tc>
          <w:tcPr>
            <w:tcW w:w="779" w:type="dxa"/>
            <w:tcBorders>
              <w:top w:val="nil"/>
              <w:left w:val="nil"/>
              <w:bottom w:val="single" w:sz="4" w:space="0" w:color="0093D0"/>
              <w:right w:val="nil"/>
            </w:tcBorders>
            <w:shd w:val="clear" w:color="auto" w:fill="auto"/>
            <w:noWrap/>
            <w:vAlign w:val="center"/>
            <w:hideMark/>
          </w:tcPr>
          <w:p w:rsidR="00373CA6" w:rsidRDefault="00373CA6" w:rsidP="00373CA6">
            <w:pPr>
              <w:spacing w:after="0" w:line="240" w:lineRule="auto"/>
              <w:jc w:val="center"/>
              <w:rPr>
                <w:b/>
                <w:bCs/>
                <w:color w:val="000000"/>
                <w:sz w:val="16"/>
                <w:szCs w:val="16"/>
              </w:rPr>
            </w:pPr>
            <w:r>
              <w:rPr>
                <w:b/>
                <w:bCs/>
                <w:color w:val="000000"/>
                <w:sz w:val="16"/>
                <w:szCs w:val="16"/>
              </w:rPr>
              <w:t>2,000</w:t>
            </w:r>
          </w:p>
        </w:tc>
        <w:tc>
          <w:tcPr>
            <w:tcW w:w="779" w:type="dxa"/>
            <w:tcBorders>
              <w:top w:val="nil"/>
              <w:left w:val="nil"/>
              <w:bottom w:val="single" w:sz="4" w:space="0" w:color="0093D0"/>
              <w:right w:val="nil"/>
            </w:tcBorders>
            <w:shd w:val="clear" w:color="auto" w:fill="auto"/>
            <w:noWrap/>
            <w:vAlign w:val="center"/>
            <w:hideMark/>
          </w:tcPr>
          <w:p w:rsidR="00373CA6" w:rsidRDefault="00373CA6" w:rsidP="00373CA6">
            <w:pPr>
              <w:spacing w:after="0" w:line="240" w:lineRule="auto"/>
              <w:jc w:val="center"/>
              <w:rPr>
                <w:b/>
                <w:bCs/>
                <w:color w:val="000000"/>
                <w:sz w:val="16"/>
                <w:szCs w:val="16"/>
              </w:rPr>
            </w:pPr>
            <w:r>
              <w:rPr>
                <w:b/>
                <w:bCs/>
                <w:color w:val="000000"/>
                <w:sz w:val="16"/>
                <w:szCs w:val="16"/>
              </w:rPr>
              <w:t>2,550</w:t>
            </w:r>
          </w:p>
        </w:tc>
        <w:tc>
          <w:tcPr>
            <w:tcW w:w="779" w:type="dxa"/>
            <w:tcBorders>
              <w:top w:val="nil"/>
              <w:left w:val="nil"/>
              <w:bottom w:val="single" w:sz="4" w:space="0" w:color="0093D0"/>
              <w:right w:val="nil"/>
            </w:tcBorders>
            <w:shd w:val="clear" w:color="auto" w:fill="auto"/>
            <w:noWrap/>
            <w:vAlign w:val="center"/>
            <w:hideMark/>
          </w:tcPr>
          <w:p w:rsidR="00373CA6" w:rsidRDefault="00373CA6" w:rsidP="00373CA6">
            <w:pPr>
              <w:spacing w:after="0" w:line="240" w:lineRule="auto"/>
              <w:jc w:val="center"/>
              <w:rPr>
                <w:b/>
                <w:bCs/>
                <w:color w:val="000000"/>
                <w:sz w:val="16"/>
                <w:szCs w:val="16"/>
              </w:rPr>
            </w:pPr>
            <w:r>
              <w:rPr>
                <w:b/>
                <w:bCs/>
                <w:color w:val="000000"/>
                <w:sz w:val="16"/>
                <w:szCs w:val="16"/>
              </w:rPr>
              <w:t>2,500</w:t>
            </w:r>
          </w:p>
        </w:tc>
        <w:tc>
          <w:tcPr>
            <w:tcW w:w="779" w:type="dxa"/>
            <w:tcBorders>
              <w:top w:val="nil"/>
              <w:left w:val="nil"/>
              <w:bottom w:val="single" w:sz="4" w:space="0" w:color="0093D0"/>
              <w:right w:val="nil"/>
            </w:tcBorders>
            <w:shd w:val="clear" w:color="auto" w:fill="auto"/>
            <w:noWrap/>
            <w:vAlign w:val="center"/>
            <w:hideMark/>
          </w:tcPr>
          <w:p w:rsidR="00373CA6" w:rsidRDefault="00373CA6" w:rsidP="00373CA6">
            <w:pPr>
              <w:spacing w:after="0" w:line="240" w:lineRule="auto"/>
              <w:jc w:val="center"/>
              <w:rPr>
                <w:b/>
                <w:bCs/>
                <w:color w:val="000000"/>
                <w:sz w:val="16"/>
                <w:szCs w:val="16"/>
              </w:rPr>
            </w:pPr>
            <w:r>
              <w:rPr>
                <w:b/>
                <w:bCs/>
                <w:color w:val="000000"/>
                <w:sz w:val="16"/>
                <w:szCs w:val="16"/>
              </w:rPr>
              <w:t>2,358</w:t>
            </w:r>
          </w:p>
        </w:tc>
        <w:tc>
          <w:tcPr>
            <w:tcW w:w="784" w:type="dxa"/>
            <w:tcBorders>
              <w:top w:val="nil"/>
              <w:left w:val="nil"/>
              <w:bottom w:val="single" w:sz="4" w:space="0" w:color="0093D0"/>
              <w:right w:val="nil"/>
            </w:tcBorders>
            <w:shd w:val="clear" w:color="auto" w:fill="auto"/>
            <w:noWrap/>
            <w:vAlign w:val="center"/>
            <w:hideMark/>
          </w:tcPr>
          <w:p w:rsidR="00373CA6" w:rsidRDefault="00373CA6" w:rsidP="00373CA6">
            <w:pPr>
              <w:spacing w:after="0" w:line="240" w:lineRule="auto"/>
              <w:jc w:val="center"/>
              <w:rPr>
                <w:b/>
                <w:bCs/>
                <w:color w:val="000000"/>
                <w:sz w:val="16"/>
                <w:szCs w:val="16"/>
              </w:rPr>
            </w:pPr>
            <w:r>
              <w:rPr>
                <w:b/>
                <w:bCs/>
                <w:color w:val="000000"/>
                <w:sz w:val="16"/>
                <w:szCs w:val="16"/>
              </w:rPr>
              <w:t>2,550</w:t>
            </w:r>
          </w:p>
        </w:tc>
        <w:tc>
          <w:tcPr>
            <w:tcW w:w="887" w:type="dxa"/>
            <w:tcBorders>
              <w:top w:val="nil"/>
              <w:left w:val="nil"/>
              <w:bottom w:val="single" w:sz="4" w:space="0" w:color="0093D0"/>
              <w:right w:val="nil"/>
            </w:tcBorders>
            <w:shd w:val="clear" w:color="auto" w:fill="auto"/>
            <w:noWrap/>
            <w:vAlign w:val="center"/>
            <w:hideMark/>
          </w:tcPr>
          <w:p w:rsidR="00373CA6" w:rsidRDefault="00373CA6" w:rsidP="00373CA6">
            <w:pPr>
              <w:spacing w:after="0" w:line="240" w:lineRule="auto"/>
              <w:jc w:val="center"/>
              <w:rPr>
                <w:b/>
                <w:bCs/>
                <w:color w:val="000000"/>
                <w:sz w:val="16"/>
                <w:szCs w:val="16"/>
              </w:rPr>
            </w:pPr>
            <w:r>
              <w:rPr>
                <w:b/>
                <w:bCs/>
                <w:color w:val="000000"/>
                <w:sz w:val="16"/>
                <w:szCs w:val="16"/>
              </w:rPr>
              <w:t>24,075</w:t>
            </w:r>
          </w:p>
        </w:tc>
        <w:tc>
          <w:tcPr>
            <w:tcW w:w="887" w:type="dxa"/>
            <w:tcBorders>
              <w:top w:val="nil"/>
              <w:left w:val="nil"/>
              <w:bottom w:val="single" w:sz="4" w:space="0" w:color="0093D0"/>
              <w:right w:val="nil"/>
            </w:tcBorders>
            <w:shd w:val="clear" w:color="auto" w:fill="auto"/>
            <w:noWrap/>
            <w:vAlign w:val="center"/>
            <w:hideMark/>
          </w:tcPr>
          <w:p w:rsidR="00373CA6" w:rsidRDefault="00373CA6" w:rsidP="00373CA6">
            <w:pPr>
              <w:spacing w:after="0" w:line="240" w:lineRule="auto"/>
              <w:jc w:val="center"/>
              <w:rPr>
                <w:b/>
                <w:bCs/>
                <w:color w:val="000000"/>
                <w:sz w:val="16"/>
                <w:szCs w:val="16"/>
              </w:rPr>
            </w:pPr>
            <w:r>
              <w:rPr>
                <w:b/>
                <w:bCs/>
                <w:color w:val="000000"/>
                <w:sz w:val="16"/>
                <w:szCs w:val="16"/>
              </w:rPr>
              <w:t>263</w:t>
            </w:r>
          </w:p>
        </w:tc>
        <w:tc>
          <w:tcPr>
            <w:tcW w:w="1025" w:type="dxa"/>
            <w:tcBorders>
              <w:top w:val="nil"/>
              <w:left w:val="nil"/>
              <w:bottom w:val="single" w:sz="4" w:space="0" w:color="0093D0"/>
              <w:right w:val="nil"/>
            </w:tcBorders>
            <w:vAlign w:val="center"/>
          </w:tcPr>
          <w:p w:rsidR="00373CA6" w:rsidRPr="00147005" w:rsidRDefault="00373CA6" w:rsidP="00373CA6">
            <w:pPr>
              <w:spacing w:after="0" w:line="240" w:lineRule="auto"/>
              <w:jc w:val="center"/>
              <w:rPr>
                <w:rFonts w:eastAsia="Times New Roman"/>
                <w:b/>
                <w:bCs/>
                <w:color w:val="000000"/>
                <w:sz w:val="16"/>
                <w:szCs w:val="20"/>
                <w:lang w:eastAsia="en-AU"/>
              </w:rPr>
            </w:pPr>
            <w:r w:rsidRPr="00373CA6">
              <w:rPr>
                <w:rFonts w:eastAsia="Times New Roman"/>
                <w:b/>
                <w:bCs/>
                <w:color w:val="000000"/>
                <w:sz w:val="16"/>
                <w:szCs w:val="20"/>
                <w:lang w:eastAsia="en-AU"/>
              </w:rPr>
              <w:t>2,750 – 3,250</w:t>
            </w:r>
          </w:p>
        </w:tc>
      </w:tr>
    </w:tbl>
    <w:p w:rsidR="00EE00DE" w:rsidRPr="003A4303" w:rsidRDefault="00EE00DE" w:rsidP="00EE00DE">
      <w:pPr>
        <w:pStyle w:val="MJAnormal"/>
      </w:pPr>
    </w:p>
    <w:p w:rsidR="00EE00DE" w:rsidRDefault="00EE00DE" w:rsidP="00EE00DE">
      <w:pPr>
        <w:pStyle w:val="Caption"/>
      </w:pPr>
      <w:bookmarkStart w:id="23" w:name="_Toc426386640"/>
      <w:r>
        <w:t xml:space="preserve">Figure </w:t>
      </w:r>
      <w:r w:rsidR="00C23339">
        <w:fldChar w:fldCharType="begin"/>
      </w:r>
      <w:r w:rsidR="00134558">
        <w:instrText xml:space="preserve"> SEQ Figure \* ARABIC </w:instrText>
      </w:r>
      <w:r w:rsidR="00C23339">
        <w:fldChar w:fldCharType="separate"/>
      </w:r>
      <w:r w:rsidR="00E00DC7">
        <w:rPr>
          <w:noProof/>
        </w:rPr>
        <w:t>10</w:t>
      </w:r>
      <w:r w:rsidR="00C23339">
        <w:rPr>
          <w:noProof/>
        </w:rPr>
        <w:fldChar w:fldCharType="end"/>
      </w:r>
      <w:r>
        <w:t>: Entitlement market price range by volume</w:t>
      </w:r>
      <w:bookmarkEnd w:id="23"/>
    </w:p>
    <w:p w:rsidR="003D5246" w:rsidRPr="003D5246" w:rsidRDefault="00373CA6" w:rsidP="0068175B">
      <w:pPr>
        <w:pStyle w:val="MJAnormal"/>
      </w:pPr>
      <w:r>
        <w:rPr>
          <w:noProof/>
          <w:lang w:eastAsia="en-AU"/>
        </w:rPr>
        <w:drawing>
          <wp:inline distT="0" distB="0" distL="0" distR="0">
            <wp:extent cx="5760000" cy="207310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073101"/>
                    </a:xfrm>
                    <a:prstGeom prst="rect">
                      <a:avLst/>
                    </a:prstGeom>
                    <a:noFill/>
                  </pic:spPr>
                </pic:pic>
              </a:graphicData>
            </a:graphic>
          </wp:inline>
        </w:drawing>
      </w:r>
    </w:p>
    <w:p w:rsidR="00BF578C" w:rsidRDefault="00BF578C" w:rsidP="00BF578C">
      <w:pPr>
        <w:pStyle w:val="MJAsource"/>
        <w:rPr>
          <w:b/>
          <w:sz w:val="16"/>
        </w:rPr>
      </w:pPr>
    </w:p>
    <w:p w:rsidR="00BF578C" w:rsidRPr="00360040" w:rsidRDefault="00BF578C" w:rsidP="00BF578C">
      <w:pPr>
        <w:pStyle w:val="MJAsource"/>
        <w:rPr>
          <w:sz w:val="16"/>
        </w:rPr>
      </w:pPr>
      <w:r w:rsidRPr="00360040">
        <w:rPr>
          <w:b/>
          <w:sz w:val="16"/>
        </w:rPr>
        <w:t>Note:</w:t>
      </w:r>
      <w:r w:rsidRPr="00360040">
        <w:rPr>
          <w:sz w:val="16"/>
        </w:rPr>
        <w:t xml:space="preserve"> </w:t>
      </w:r>
      <w:r w:rsidR="00B72D91">
        <w:rPr>
          <w:sz w:val="16"/>
        </w:rPr>
        <w:t>A number of</w:t>
      </w:r>
      <w:r w:rsidRPr="00360040">
        <w:rPr>
          <w:sz w:val="16"/>
        </w:rPr>
        <w:t xml:space="preserve"> trades which are outside two standard deviations of the average price of water entitlements have been included for this region.</w:t>
      </w:r>
    </w:p>
    <w:p w:rsidR="00EE00DE" w:rsidRPr="00564276" w:rsidRDefault="002D50B8" w:rsidP="002D50B8">
      <w:pPr>
        <w:pStyle w:val="MJAsource"/>
        <w:rPr>
          <w:sz w:val="16"/>
        </w:rPr>
      </w:pPr>
      <w:r w:rsidRPr="00AE33C7">
        <w:rPr>
          <w:b/>
          <w:sz w:val="16"/>
          <w:szCs w:val="16"/>
        </w:rPr>
        <w:t xml:space="preserve">Data Sources: </w:t>
      </w:r>
      <w:r w:rsidRPr="00AE33C7">
        <w:rPr>
          <w:sz w:val="16"/>
          <w:szCs w:val="16"/>
        </w:rPr>
        <w:t>VIC Water</w:t>
      </w:r>
      <w:r w:rsidRPr="00EA394F">
        <w:rPr>
          <w:sz w:val="16"/>
        </w:rPr>
        <w:t xml:space="preserve"> Register (waterregister.vic.gov.au/water-trading/water-share-trading), National Water Exchange </w:t>
      </w:r>
      <w:r w:rsidR="000A37A8" w:rsidRPr="00F17E80">
        <w:rPr>
          <w:sz w:val="16"/>
        </w:rPr>
        <w:t>(</w:t>
      </w:r>
      <w:hyperlink r:id="rId39" w:history="1">
        <w:r w:rsidR="000A37A8" w:rsidRPr="00631B5E">
          <w:rPr>
            <w:rStyle w:val="Hyperlink"/>
            <w:sz w:val="16"/>
          </w:rPr>
          <w:t>www.waterexchange.com.au</w:t>
        </w:r>
      </w:hyperlink>
      <w:r w:rsidR="000A37A8" w:rsidRPr="00F17E80">
        <w:rPr>
          <w:sz w:val="16"/>
        </w:rPr>
        <w:t xml:space="preserve">), </w:t>
      </w:r>
      <w:proofErr w:type="spellStart"/>
      <w:r w:rsidR="000A37A8" w:rsidRPr="00F17E80">
        <w:rPr>
          <w:sz w:val="16"/>
        </w:rPr>
        <w:t>Waterfind</w:t>
      </w:r>
      <w:proofErr w:type="spellEnd"/>
      <w:r w:rsidR="000A37A8" w:rsidRPr="00F17E80">
        <w:rPr>
          <w:sz w:val="16"/>
        </w:rPr>
        <w:t xml:space="preserve"> (</w:t>
      </w:r>
      <w:hyperlink r:id="rId40" w:history="1">
        <w:r w:rsidR="000A37A8" w:rsidRPr="00F17E80">
          <w:rPr>
            <w:rStyle w:val="Hyperlink"/>
            <w:sz w:val="16"/>
          </w:rPr>
          <w:t>www.waterfind.com.au</w:t>
        </w:r>
      </w:hyperlink>
      <w:r w:rsidR="000A37A8" w:rsidRPr="00F17E80">
        <w:rPr>
          <w:sz w:val="16"/>
        </w:rPr>
        <w:t>)</w:t>
      </w:r>
      <w:r w:rsidR="000A37A8">
        <w:rPr>
          <w:sz w:val="16"/>
        </w:rPr>
        <w:t>, H2OX (</w:t>
      </w:r>
      <w:hyperlink r:id="rId41" w:history="1">
        <w:r w:rsidR="000A37A8" w:rsidRPr="00631B5E">
          <w:rPr>
            <w:rStyle w:val="Hyperlink"/>
            <w:sz w:val="16"/>
          </w:rPr>
          <w:t>www.h2ox.com</w:t>
        </w:r>
      </w:hyperlink>
      <w:r w:rsidR="000A37A8">
        <w:rPr>
          <w:sz w:val="16"/>
        </w:rPr>
        <w:t xml:space="preserve">) </w:t>
      </w:r>
      <w:r w:rsidR="00EE00DE" w:rsidRPr="00564276">
        <w:rPr>
          <w:sz w:val="16"/>
        </w:rPr>
        <w:br w:type="page"/>
      </w:r>
    </w:p>
    <w:p w:rsidR="00EE00DE" w:rsidRDefault="00EE00DE" w:rsidP="00EE00DE">
      <w:pPr>
        <w:pStyle w:val="MJAheading2"/>
      </w:pPr>
      <w:bookmarkStart w:id="24" w:name="_Toc441834747"/>
      <w:r>
        <w:t>VIC Murray below Barmah Choke: Low Reliability</w:t>
      </w:r>
      <w:bookmarkEnd w:id="24"/>
    </w:p>
    <w:p w:rsidR="00EE00DE" w:rsidRDefault="00EE00DE" w:rsidP="00EE00DE">
      <w:pPr>
        <w:pStyle w:val="Caption"/>
      </w:pPr>
      <w:bookmarkStart w:id="25" w:name="_Toc426386641"/>
      <w:r>
        <w:t xml:space="preserve">Figure </w:t>
      </w:r>
      <w:r w:rsidR="00C23339">
        <w:fldChar w:fldCharType="begin"/>
      </w:r>
      <w:r w:rsidR="00134558">
        <w:instrText xml:space="preserve"> SEQ Figure \* ARABIC </w:instrText>
      </w:r>
      <w:r w:rsidR="00C23339">
        <w:fldChar w:fldCharType="separate"/>
      </w:r>
      <w:r w:rsidR="00E00DC7">
        <w:rPr>
          <w:noProof/>
        </w:rPr>
        <w:t>11</w:t>
      </w:r>
      <w:r w:rsidR="00C23339">
        <w:rPr>
          <w:noProof/>
        </w:rPr>
        <w:fldChar w:fldCharType="end"/>
      </w:r>
      <w:r>
        <w:t>: Entitlement market prices and volumes</w:t>
      </w:r>
      <w:bookmarkEnd w:id="25"/>
    </w:p>
    <w:p w:rsidR="00373CA6" w:rsidRPr="00373CA6" w:rsidRDefault="00373CA6" w:rsidP="00373CA6">
      <w:pPr>
        <w:pStyle w:val="MJAnormal"/>
      </w:pPr>
      <w:r>
        <w:rPr>
          <w:noProof/>
          <w:lang w:eastAsia="en-AU"/>
        </w:rPr>
        <w:drawing>
          <wp:inline distT="0" distB="0" distL="0" distR="0">
            <wp:extent cx="5760000" cy="279056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EE00DE" w:rsidRPr="003A4303" w:rsidRDefault="00EE00DE" w:rsidP="00373CA6">
      <w:pPr>
        <w:pStyle w:val="MJAnormal"/>
      </w:pPr>
    </w:p>
    <w:p w:rsidR="00EE00DE" w:rsidRDefault="00EE00DE" w:rsidP="00EE00DE">
      <w:pPr>
        <w:pStyle w:val="Caption"/>
      </w:pPr>
      <w:bookmarkStart w:id="26" w:name="_Toc426386583"/>
      <w:r>
        <w:t xml:space="preserve">Table </w:t>
      </w:r>
      <w:r w:rsidR="00C23339">
        <w:fldChar w:fldCharType="begin"/>
      </w:r>
      <w:r w:rsidR="00134558">
        <w:instrText xml:space="preserve"> SEQ Table \* ARABIC </w:instrText>
      </w:r>
      <w:r w:rsidR="00C23339">
        <w:fldChar w:fldCharType="separate"/>
      </w:r>
      <w:r w:rsidR="00E00DC7">
        <w:rPr>
          <w:noProof/>
        </w:rPr>
        <w:t>6</w:t>
      </w:r>
      <w:r w:rsidR="00C23339">
        <w:rPr>
          <w:noProof/>
        </w:rPr>
        <w:fldChar w:fldCharType="end"/>
      </w:r>
      <w:r>
        <w:t>: Entitlement market prices and volumes</w:t>
      </w:r>
      <w:bookmarkEnd w:id="26"/>
    </w:p>
    <w:tbl>
      <w:tblPr>
        <w:tblW w:w="5000" w:type="pct"/>
        <w:tblCellMar>
          <w:left w:w="28" w:type="dxa"/>
          <w:right w:w="28" w:type="dxa"/>
        </w:tblCellMar>
        <w:tblLook w:val="04A0"/>
      </w:tblPr>
      <w:tblGrid>
        <w:gridCol w:w="881"/>
        <w:gridCol w:w="919"/>
        <w:gridCol w:w="874"/>
        <w:gridCol w:w="750"/>
        <w:gridCol w:w="750"/>
        <w:gridCol w:w="750"/>
        <w:gridCol w:w="750"/>
        <w:gridCol w:w="759"/>
        <w:gridCol w:w="856"/>
        <w:gridCol w:w="856"/>
        <w:gridCol w:w="982"/>
      </w:tblGrid>
      <w:tr w:rsidR="00B76B7E" w:rsidRPr="00147005" w:rsidTr="00373CA6">
        <w:trPr>
          <w:trHeight w:val="525"/>
        </w:trPr>
        <w:tc>
          <w:tcPr>
            <w:tcW w:w="1464" w:type="pct"/>
            <w:gridSpan w:val="3"/>
            <w:tcBorders>
              <w:top w:val="nil"/>
              <w:left w:val="nil"/>
              <w:bottom w:val="nil"/>
              <w:right w:val="nil"/>
            </w:tcBorders>
            <w:shd w:val="clear" w:color="000000" w:fill="0093D0"/>
            <w:noWrap/>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60" w:type="pct"/>
            <w:gridSpan w:val="5"/>
            <w:tcBorders>
              <w:top w:val="nil"/>
              <w:left w:val="single" w:sz="4" w:space="0" w:color="C5D9F1"/>
              <w:bottom w:val="nil"/>
              <w:right w:val="single" w:sz="4" w:space="0" w:color="C5D9F1"/>
            </w:tcBorders>
            <w:shd w:val="clear" w:color="000000" w:fill="0093D0"/>
            <w:noWrap/>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B76B7E" w:rsidRPr="00147005">
              <w:rPr>
                <w:rFonts w:eastAsia="Times New Roman"/>
                <w:b/>
                <w:bCs/>
                <w:color w:val="FFFFFF"/>
                <w:sz w:val="16"/>
                <w:szCs w:val="20"/>
                <w:lang w:eastAsia="en-AU"/>
              </w:rPr>
              <w:t xml:space="preserve"> 2015 Quarter (in $/ML)</w:t>
            </w:r>
          </w:p>
        </w:tc>
        <w:tc>
          <w:tcPr>
            <w:tcW w:w="469" w:type="pct"/>
            <w:vMerge w:val="restart"/>
            <w:tcBorders>
              <w:top w:val="nil"/>
              <w:left w:val="single" w:sz="4" w:space="0" w:color="C5D9F1"/>
              <w:right w:val="nil"/>
            </w:tcBorders>
            <w:shd w:val="clear" w:color="000000" w:fill="0093D0"/>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B76B7E">
              <w:rPr>
                <w:rFonts w:eastAsia="Times New Roman"/>
                <w:b/>
                <w:bCs/>
                <w:color w:val="FFFFFF"/>
                <w:sz w:val="16"/>
                <w:szCs w:val="20"/>
                <w:lang w:eastAsia="en-AU"/>
              </w:rPr>
              <w:t xml:space="preserve"> </w:t>
            </w:r>
            <w:r w:rsidR="00B76B7E" w:rsidRPr="00147005">
              <w:rPr>
                <w:rFonts w:eastAsia="Times New Roman"/>
                <w:b/>
                <w:bCs/>
                <w:color w:val="FFFFFF"/>
                <w:sz w:val="16"/>
                <w:szCs w:val="20"/>
                <w:lang w:eastAsia="en-AU"/>
              </w:rPr>
              <w:t>2015 Quarter Volume</w:t>
            </w:r>
            <w:r w:rsidR="00B76B7E">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B76B7E" w:rsidRPr="00147005">
              <w:rPr>
                <w:rFonts w:eastAsia="Times New Roman"/>
                <w:b/>
                <w:bCs/>
                <w:color w:val="FFFFFF"/>
                <w:sz w:val="16"/>
                <w:szCs w:val="20"/>
                <w:lang w:eastAsia="en-AU"/>
              </w:rPr>
              <w:t xml:space="preserve"> 2015 Quarter # of trades</w:t>
            </w:r>
          </w:p>
        </w:tc>
        <w:tc>
          <w:tcPr>
            <w:tcW w:w="538" w:type="pct"/>
            <w:vMerge w:val="restart"/>
            <w:tcBorders>
              <w:top w:val="nil"/>
              <w:left w:val="nil"/>
              <w:right w:val="nil"/>
            </w:tcBorders>
            <w:shd w:val="clear" w:color="000000" w:fill="0093D0"/>
            <w:vAlign w:val="center"/>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B76B7E" w:rsidRPr="00147005" w:rsidTr="0068175B">
        <w:trPr>
          <w:trHeight w:val="552"/>
        </w:trPr>
        <w:tc>
          <w:tcPr>
            <w:tcW w:w="482" w:type="pct"/>
            <w:tcBorders>
              <w:top w:val="nil"/>
              <w:left w:val="nil"/>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503" w:type="pct"/>
            <w:tcBorders>
              <w:top w:val="nil"/>
              <w:left w:val="nil"/>
              <w:bottom w:val="nil"/>
              <w:right w:val="nil"/>
            </w:tcBorders>
            <w:shd w:val="clear" w:color="000000" w:fill="0093D0"/>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B76B7E" w:rsidRPr="00147005">
              <w:rPr>
                <w:rFonts w:eastAsia="Times New Roman"/>
                <w:b/>
                <w:bCs/>
                <w:color w:val="FFFFFF"/>
                <w:sz w:val="16"/>
                <w:szCs w:val="20"/>
                <w:lang w:eastAsia="en-AU"/>
              </w:rPr>
              <w:t xml:space="preserve"> 2015 Quarter</w:t>
            </w:r>
          </w:p>
        </w:tc>
        <w:tc>
          <w:tcPr>
            <w:tcW w:w="478" w:type="pct"/>
            <w:tcBorders>
              <w:top w:val="nil"/>
              <w:left w:val="nil"/>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rsidR="00B76B7E" w:rsidRPr="00147005" w:rsidRDefault="00F94000"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Median</w:t>
            </w:r>
          </w:p>
        </w:tc>
        <w:tc>
          <w:tcPr>
            <w:tcW w:w="411" w:type="pct"/>
            <w:tcBorders>
              <w:top w:val="nil"/>
              <w:left w:val="nil"/>
              <w:bottom w:val="nil"/>
              <w:right w:val="nil"/>
            </w:tcBorders>
            <w:shd w:val="clear" w:color="000000" w:fill="0093D0"/>
            <w:vAlign w:val="center"/>
            <w:hideMark/>
          </w:tcPr>
          <w:p w:rsidR="00B76B7E" w:rsidRPr="00147005" w:rsidRDefault="00F94000"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Mean</w:t>
            </w:r>
          </w:p>
        </w:tc>
        <w:tc>
          <w:tcPr>
            <w:tcW w:w="416" w:type="pct"/>
            <w:tcBorders>
              <w:top w:val="nil"/>
              <w:left w:val="nil"/>
              <w:bottom w:val="nil"/>
              <w:right w:val="single" w:sz="4" w:space="0" w:color="C5D9F1"/>
            </w:tcBorders>
            <w:shd w:val="clear" w:color="000000" w:fill="0093D0"/>
            <w:vAlign w:val="center"/>
            <w:hideMark/>
          </w:tcPr>
          <w:p w:rsidR="00B76B7E" w:rsidRPr="00147005" w:rsidRDefault="00F94000"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Mode</w:t>
            </w:r>
            <w:r w:rsidRPr="00147005">
              <w:rPr>
                <w:rFonts w:eastAsia="Times New Roman"/>
                <w:b/>
                <w:bCs/>
                <w:color w:val="FFFFFF"/>
                <w:sz w:val="16"/>
                <w:szCs w:val="20"/>
                <w:lang w:eastAsia="en-AU"/>
              </w:rPr>
              <w:t xml:space="preserve"> </w:t>
            </w:r>
          </w:p>
        </w:tc>
        <w:tc>
          <w:tcPr>
            <w:tcW w:w="469" w:type="pct"/>
            <w:vMerge/>
            <w:tcBorders>
              <w:left w:val="single" w:sz="4" w:space="0" w:color="C5D9F1"/>
              <w:bottom w:val="nil"/>
              <w:right w:val="nil"/>
            </w:tcBorders>
            <w:vAlign w:val="center"/>
            <w:hideMark/>
          </w:tcPr>
          <w:p w:rsidR="00B76B7E" w:rsidRPr="00147005" w:rsidRDefault="00B76B7E" w:rsidP="00B76B7E">
            <w:pPr>
              <w:spacing w:after="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rsidR="00B76B7E" w:rsidRPr="00147005" w:rsidRDefault="00B76B7E" w:rsidP="00B76B7E">
            <w:pPr>
              <w:spacing w:after="0" w:line="240" w:lineRule="auto"/>
              <w:rPr>
                <w:rFonts w:eastAsia="Times New Roman"/>
                <w:b/>
                <w:bCs/>
                <w:color w:val="FFFFFF"/>
                <w:sz w:val="16"/>
                <w:szCs w:val="20"/>
                <w:lang w:eastAsia="en-AU"/>
              </w:rPr>
            </w:pPr>
          </w:p>
        </w:tc>
        <w:tc>
          <w:tcPr>
            <w:tcW w:w="538" w:type="pct"/>
            <w:vMerge/>
            <w:tcBorders>
              <w:left w:val="nil"/>
              <w:bottom w:val="nil"/>
              <w:right w:val="nil"/>
            </w:tcBorders>
            <w:vAlign w:val="center"/>
          </w:tcPr>
          <w:p w:rsidR="00B76B7E" w:rsidRPr="00147005" w:rsidRDefault="00B76B7E" w:rsidP="00B76B7E">
            <w:pPr>
              <w:spacing w:after="0" w:line="240" w:lineRule="auto"/>
              <w:rPr>
                <w:rFonts w:eastAsia="Times New Roman"/>
                <w:b/>
                <w:bCs/>
                <w:color w:val="FFFFFF"/>
                <w:sz w:val="16"/>
                <w:szCs w:val="20"/>
                <w:lang w:eastAsia="en-AU"/>
              </w:rPr>
            </w:pPr>
          </w:p>
        </w:tc>
      </w:tr>
      <w:tr w:rsidR="00373CA6" w:rsidRPr="00147005" w:rsidTr="0068175B">
        <w:trPr>
          <w:trHeight w:val="555"/>
        </w:trPr>
        <w:tc>
          <w:tcPr>
            <w:tcW w:w="482" w:type="pct"/>
            <w:tcBorders>
              <w:top w:val="nil"/>
              <w:left w:val="nil"/>
              <w:bottom w:val="single" w:sz="4" w:space="0" w:color="0093D0"/>
              <w:right w:val="nil"/>
            </w:tcBorders>
            <w:shd w:val="clear" w:color="auto" w:fill="auto"/>
            <w:noWrap/>
            <w:vAlign w:val="center"/>
            <w:hideMark/>
          </w:tcPr>
          <w:p w:rsidR="00373CA6" w:rsidRDefault="00373CA6" w:rsidP="00373CA6">
            <w:pPr>
              <w:spacing w:after="0" w:line="240" w:lineRule="auto"/>
              <w:jc w:val="center"/>
              <w:rPr>
                <w:b/>
                <w:bCs/>
                <w:color w:val="000000"/>
                <w:sz w:val="16"/>
                <w:szCs w:val="16"/>
                <w:lang w:eastAsia="en-AU"/>
              </w:rPr>
            </w:pPr>
            <w:r>
              <w:rPr>
                <w:b/>
                <w:bCs/>
                <w:color w:val="000000"/>
                <w:sz w:val="16"/>
                <w:szCs w:val="16"/>
              </w:rPr>
              <w:t>270</w:t>
            </w:r>
          </w:p>
        </w:tc>
        <w:tc>
          <w:tcPr>
            <w:tcW w:w="503" w:type="pct"/>
            <w:tcBorders>
              <w:top w:val="nil"/>
              <w:left w:val="nil"/>
              <w:bottom w:val="single" w:sz="4" w:space="0" w:color="0093D0"/>
              <w:right w:val="nil"/>
            </w:tcBorders>
            <w:shd w:val="clear" w:color="auto" w:fill="auto"/>
            <w:noWrap/>
            <w:vAlign w:val="center"/>
            <w:hideMark/>
          </w:tcPr>
          <w:p w:rsidR="00373CA6" w:rsidRDefault="00373CA6" w:rsidP="00373CA6">
            <w:pPr>
              <w:spacing w:after="0" w:line="240" w:lineRule="auto"/>
              <w:jc w:val="center"/>
              <w:rPr>
                <w:b/>
                <w:bCs/>
                <w:color w:val="000000"/>
                <w:sz w:val="16"/>
                <w:szCs w:val="16"/>
              </w:rPr>
            </w:pPr>
            <w:r>
              <w:rPr>
                <w:b/>
                <w:bCs/>
                <w:color w:val="000000"/>
                <w:sz w:val="16"/>
                <w:szCs w:val="16"/>
              </w:rPr>
              <w:t>262</w:t>
            </w:r>
          </w:p>
        </w:tc>
        <w:tc>
          <w:tcPr>
            <w:tcW w:w="478" w:type="pct"/>
            <w:tcBorders>
              <w:top w:val="nil"/>
              <w:left w:val="nil"/>
              <w:bottom w:val="single" w:sz="4" w:space="0" w:color="0093D0"/>
              <w:right w:val="nil"/>
            </w:tcBorders>
            <w:shd w:val="clear" w:color="auto" w:fill="auto"/>
            <w:noWrap/>
            <w:vAlign w:val="center"/>
            <w:hideMark/>
          </w:tcPr>
          <w:p w:rsidR="00373CA6" w:rsidRDefault="00373CA6" w:rsidP="00373CA6">
            <w:pPr>
              <w:spacing w:after="0" w:line="240" w:lineRule="auto"/>
              <w:jc w:val="center"/>
              <w:rPr>
                <w:b/>
                <w:bCs/>
                <w:color w:val="000000"/>
                <w:sz w:val="16"/>
                <w:szCs w:val="16"/>
              </w:rPr>
            </w:pPr>
            <w:r>
              <w:rPr>
                <w:b/>
                <w:bCs/>
                <w:color w:val="000000"/>
                <w:sz w:val="16"/>
                <w:szCs w:val="16"/>
              </w:rPr>
              <w:t>259</w:t>
            </w:r>
          </w:p>
        </w:tc>
        <w:tc>
          <w:tcPr>
            <w:tcW w:w="411" w:type="pct"/>
            <w:tcBorders>
              <w:top w:val="nil"/>
              <w:left w:val="nil"/>
              <w:bottom w:val="single" w:sz="4" w:space="0" w:color="0093D0"/>
              <w:right w:val="nil"/>
            </w:tcBorders>
            <w:shd w:val="clear" w:color="auto" w:fill="auto"/>
            <w:noWrap/>
            <w:vAlign w:val="center"/>
            <w:hideMark/>
          </w:tcPr>
          <w:p w:rsidR="00373CA6" w:rsidRDefault="00373CA6" w:rsidP="00373CA6">
            <w:pPr>
              <w:spacing w:after="0" w:line="240" w:lineRule="auto"/>
              <w:jc w:val="center"/>
              <w:rPr>
                <w:b/>
                <w:bCs/>
                <w:color w:val="000000"/>
                <w:sz w:val="16"/>
                <w:szCs w:val="16"/>
              </w:rPr>
            </w:pPr>
            <w:r>
              <w:rPr>
                <w:b/>
                <w:bCs/>
                <w:color w:val="000000"/>
                <w:sz w:val="16"/>
                <w:szCs w:val="16"/>
              </w:rPr>
              <w:t>250</w:t>
            </w:r>
          </w:p>
        </w:tc>
        <w:tc>
          <w:tcPr>
            <w:tcW w:w="411" w:type="pct"/>
            <w:tcBorders>
              <w:top w:val="nil"/>
              <w:left w:val="nil"/>
              <w:bottom w:val="single" w:sz="4" w:space="0" w:color="0093D0"/>
              <w:right w:val="nil"/>
            </w:tcBorders>
            <w:shd w:val="clear" w:color="auto" w:fill="auto"/>
            <w:noWrap/>
            <w:vAlign w:val="center"/>
            <w:hideMark/>
          </w:tcPr>
          <w:p w:rsidR="00373CA6" w:rsidRDefault="00373CA6" w:rsidP="00373CA6">
            <w:pPr>
              <w:spacing w:after="0" w:line="240" w:lineRule="auto"/>
              <w:jc w:val="center"/>
              <w:rPr>
                <w:b/>
                <w:bCs/>
                <w:color w:val="000000"/>
                <w:sz w:val="16"/>
                <w:szCs w:val="16"/>
              </w:rPr>
            </w:pPr>
            <w:r>
              <w:rPr>
                <w:b/>
                <w:bCs/>
                <w:color w:val="000000"/>
                <w:sz w:val="16"/>
                <w:szCs w:val="16"/>
              </w:rPr>
              <w:t>280</w:t>
            </w:r>
          </w:p>
        </w:tc>
        <w:tc>
          <w:tcPr>
            <w:tcW w:w="411" w:type="pct"/>
            <w:tcBorders>
              <w:top w:val="nil"/>
              <w:left w:val="nil"/>
              <w:bottom w:val="single" w:sz="4" w:space="0" w:color="0093D0"/>
              <w:right w:val="nil"/>
            </w:tcBorders>
            <w:shd w:val="clear" w:color="auto" w:fill="auto"/>
            <w:noWrap/>
            <w:vAlign w:val="center"/>
            <w:hideMark/>
          </w:tcPr>
          <w:p w:rsidR="00373CA6" w:rsidRDefault="00373CA6" w:rsidP="00373CA6">
            <w:pPr>
              <w:spacing w:after="0" w:line="240" w:lineRule="auto"/>
              <w:jc w:val="center"/>
              <w:rPr>
                <w:b/>
                <w:bCs/>
                <w:color w:val="000000"/>
                <w:sz w:val="16"/>
                <w:szCs w:val="16"/>
              </w:rPr>
            </w:pPr>
            <w:r>
              <w:rPr>
                <w:b/>
                <w:bCs/>
                <w:color w:val="000000"/>
                <w:sz w:val="16"/>
                <w:szCs w:val="16"/>
              </w:rPr>
              <w:t>260</w:t>
            </w:r>
          </w:p>
        </w:tc>
        <w:tc>
          <w:tcPr>
            <w:tcW w:w="411" w:type="pct"/>
            <w:tcBorders>
              <w:top w:val="nil"/>
              <w:left w:val="nil"/>
              <w:bottom w:val="single" w:sz="4" w:space="0" w:color="0093D0"/>
              <w:right w:val="nil"/>
            </w:tcBorders>
            <w:shd w:val="clear" w:color="auto" w:fill="auto"/>
            <w:noWrap/>
            <w:vAlign w:val="center"/>
            <w:hideMark/>
          </w:tcPr>
          <w:p w:rsidR="00373CA6" w:rsidRDefault="00373CA6" w:rsidP="00373CA6">
            <w:pPr>
              <w:spacing w:after="0" w:line="240" w:lineRule="auto"/>
              <w:jc w:val="center"/>
              <w:rPr>
                <w:b/>
                <w:bCs/>
                <w:color w:val="000000"/>
                <w:sz w:val="16"/>
                <w:szCs w:val="16"/>
              </w:rPr>
            </w:pPr>
            <w:r>
              <w:rPr>
                <w:b/>
                <w:bCs/>
                <w:color w:val="000000"/>
                <w:sz w:val="16"/>
                <w:szCs w:val="16"/>
              </w:rPr>
              <w:t>260</w:t>
            </w:r>
          </w:p>
        </w:tc>
        <w:tc>
          <w:tcPr>
            <w:tcW w:w="416" w:type="pct"/>
            <w:tcBorders>
              <w:top w:val="nil"/>
              <w:left w:val="nil"/>
              <w:bottom w:val="single" w:sz="4" w:space="0" w:color="0093D0"/>
              <w:right w:val="nil"/>
            </w:tcBorders>
            <w:shd w:val="clear" w:color="auto" w:fill="auto"/>
            <w:noWrap/>
            <w:vAlign w:val="center"/>
            <w:hideMark/>
          </w:tcPr>
          <w:p w:rsidR="00373CA6" w:rsidRDefault="00373CA6" w:rsidP="00373CA6">
            <w:pPr>
              <w:spacing w:after="0" w:line="240" w:lineRule="auto"/>
              <w:jc w:val="center"/>
              <w:rPr>
                <w:b/>
                <w:bCs/>
                <w:color w:val="000000"/>
                <w:sz w:val="16"/>
                <w:szCs w:val="16"/>
              </w:rPr>
            </w:pPr>
            <w:r>
              <w:rPr>
                <w:b/>
                <w:bCs/>
                <w:color w:val="000000"/>
                <w:sz w:val="16"/>
                <w:szCs w:val="16"/>
              </w:rPr>
              <w:t>250</w:t>
            </w:r>
          </w:p>
        </w:tc>
        <w:tc>
          <w:tcPr>
            <w:tcW w:w="469" w:type="pct"/>
            <w:tcBorders>
              <w:top w:val="nil"/>
              <w:left w:val="nil"/>
              <w:bottom w:val="single" w:sz="4" w:space="0" w:color="0093D0"/>
              <w:right w:val="nil"/>
            </w:tcBorders>
            <w:shd w:val="clear" w:color="auto" w:fill="auto"/>
            <w:noWrap/>
            <w:vAlign w:val="center"/>
            <w:hideMark/>
          </w:tcPr>
          <w:p w:rsidR="00373CA6" w:rsidRDefault="00373CA6" w:rsidP="00373CA6">
            <w:pPr>
              <w:spacing w:after="0" w:line="240" w:lineRule="auto"/>
              <w:jc w:val="center"/>
              <w:rPr>
                <w:b/>
                <w:bCs/>
                <w:color w:val="000000"/>
                <w:sz w:val="16"/>
                <w:szCs w:val="16"/>
              </w:rPr>
            </w:pPr>
            <w:r>
              <w:rPr>
                <w:b/>
                <w:bCs/>
                <w:color w:val="000000"/>
                <w:sz w:val="16"/>
                <w:szCs w:val="16"/>
              </w:rPr>
              <w:t>1,223</w:t>
            </w:r>
          </w:p>
        </w:tc>
        <w:tc>
          <w:tcPr>
            <w:tcW w:w="469" w:type="pct"/>
            <w:tcBorders>
              <w:top w:val="nil"/>
              <w:left w:val="nil"/>
              <w:bottom w:val="single" w:sz="4" w:space="0" w:color="0093D0"/>
              <w:right w:val="nil"/>
            </w:tcBorders>
            <w:shd w:val="clear" w:color="auto" w:fill="auto"/>
            <w:noWrap/>
            <w:vAlign w:val="center"/>
            <w:hideMark/>
          </w:tcPr>
          <w:p w:rsidR="00373CA6" w:rsidRDefault="00373CA6" w:rsidP="00373CA6">
            <w:pPr>
              <w:spacing w:after="0" w:line="240" w:lineRule="auto"/>
              <w:jc w:val="center"/>
              <w:rPr>
                <w:b/>
                <w:bCs/>
                <w:color w:val="000000"/>
                <w:sz w:val="16"/>
                <w:szCs w:val="16"/>
              </w:rPr>
            </w:pPr>
            <w:r>
              <w:rPr>
                <w:b/>
                <w:bCs/>
                <w:color w:val="000000"/>
                <w:sz w:val="16"/>
                <w:szCs w:val="16"/>
              </w:rPr>
              <w:t>25</w:t>
            </w:r>
          </w:p>
        </w:tc>
        <w:tc>
          <w:tcPr>
            <w:tcW w:w="538" w:type="pct"/>
            <w:tcBorders>
              <w:top w:val="nil"/>
              <w:left w:val="nil"/>
              <w:bottom w:val="single" w:sz="4" w:space="0" w:color="0093D0"/>
              <w:right w:val="nil"/>
            </w:tcBorders>
            <w:vAlign w:val="center"/>
          </w:tcPr>
          <w:p w:rsidR="00373CA6" w:rsidRPr="00147005" w:rsidRDefault="00373CA6" w:rsidP="00373CA6">
            <w:pPr>
              <w:spacing w:after="0" w:line="240" w:lineRule="auto"/>
              <w:jc w:val="center"/>
              <w:rPr>
                <w:rFonts w:eastAsia="Times New Roman"/>
                <w:b/>
                <w:bCs/>
                <w:color w:val="000000"/>
                <w:sz w:val="16"/>
                <w:szCs w:val="20"/>
                <w:lang w:eastAsia="en-AU"/>
              </w:rPr>
            </w:pPr>
            <w:r>
              <w:rPr>
                <w:rFonts w:eastAsia="Times New Roman"/>
                <w:b/>
                <w:bCs/>
                <w:color w:val="000000"/>
                <w:sz w:val="16"/>
                <w:szCs w:val="20"/>
                <w:lang w:eastAsia="en-AU"/>
              </w:rPr>
              <w:t>250 – 300</w:t>
            </w:r>
          </w:p>
        </w:tc>
      </w:tr>
    </w:tbl>
    <w:p w:rsidR="00EE00DE" w:rsidRDefault="00EE00DE" w:rsidP="00EE00DE">
      <w:pPr>
        <w:pStyle w:val="MJAnormal"/>
      </w:pPr>
    </w:p>
    <w:p w:rsidR="00EE00DE" w:rsidRDefault="00EE00DE" w:rsidP="00EE00DE">
      <w:pPr>
        <w:pStyle w:val="Caption"/>
      </w:pPr>
      <w:bookmarkStart w:id="27" w:name="_Toc426386642"/>
      <w:r>
        <w:t xml:space="preserve">Figure </w:t>
      </w:r>
      <w:r w:rsidR="00C23339">
        <w:fldChar w:fldCharType="begin"/>
      </w:r>
      <w:r w:rsidR="00134558">
        <w:instrText xml:space="preserve"> SEQ Figure \* ARABIC </w:instrText>
      </w:r>
      <w:r w:rsidR="00C23339">
        <w:fldChar w:fldCharType="separate"/>
      </w:r>
      <w:r w:rsidR="00E00DC7">
        <w:rPr>
          <w:noProof/>
        </w:rPr>
        <w:t>12</w:t>
      </w:r>
      <w:r w:rsidR="00C23339">
        <w:rPr>
          <w:noProof/>
        </w:rPr>
        <w:fldChar w:fldCharType="end"/>
      </w:r>
      <w:r>
        <w:t>: Entitlement market price range by volume</w:t>
      </w:r>
      <w:bookmarkEnd w:id="27"/>
    </w:p>
    <w:p w:rsidR="00373CA6" w:rsidRPr="00373CA6" w:rsidRDefault="00373CA6" w:rsidP="009B0F4B">
      <w:pPr>
        <w:pStyle w:val="MJAnormal"/>
      </w:pPr>
      <w:r>
        <w:rPr>
          <w:noProof/>
          <w:lang w:eastAsia="en-AU"/>
        </w:rPr>
        <w:drawing>
          <wp:inline distT="0" distB="0" distL="0" distR="0">
            <wp:extent cx="5760000" cy="207310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073101"/>
                    </a:xfrm>
                    <a:prstGeom prst="rect">
                      <a:avLst/>
                    </a:prstGeom>
                    <a:noFill/>
                  </pic:spPr>
                </pic:pic>
              </a:graphicData>
            </a:graphic>
          </wp:inline>
        </w:drawing>
      </w:r>
    </w:p>
    <w:p w:rsidR="009B0F4B" w:rsidRPr="009B0F4B" w:rsidRDefault="009B0F4B" w:rsidP="009B0F4B">
      <w:pPr>
        <w:pStyle w:val="MJAnormal"/>
      </w:pPr>
    </w:p>
    <w:p w:rsidR="009B0F4B" w:rsidRPr="00360040" w:rsidRDefault="009B0F4B" w:rsidP="009B0F4B">
      <w:pPr>
        <w:pStyle w:val="MJAsource"/>
        <w:rPr>
          <w:sz w:val="16"/>
        </w:rPr>
      </w:pPr>
      <w:r w:rsidRPr="00360040">
        <w:rPr>
          <w:b/>
          <w:sz w:val="16"/>
        </w:rPr>
        <w:t>Note:</w:t>
      </w:r>
      <w:r w:rsidRPr="00360040">
        <w:rPr>
          <w:sz w:val="16"/>
        </w:rPr>
        <w:t xml:space="preserve"> </w:t>
      </w:r>
      <w:r>
        <w:rPr>
          <w:sz w:val="16"/>
        </w:rPr>
        <w:t>T</w:t>
      </w:r>
      <w:r w:rsidRPr="00360040">
        <w:rPr>
          <w:sz w:val="16"/>
        </w:rPr>
        <w:t xml:space="preserve">rades which are </w:t>
      </w:r>
      <w:r>
        <w:rPr>
          <w:sz w:val="16"/>
        </w:rPr>
        <w:t>in</w:t>
      </w:r>
      <w:r w:rsidRPr="00360040">
        <w:rPr>
          <w:sz w:val="16"/>
        </w:rPr>
        <w:t xml:space="preserve">side two standard deviations of the average price of water entitlements have been </w:t>
      </w:r>
      <w:r>
        <w:rPr>
          <w:sz w:val="16"/>
        </w:rPr>
        <w:t>excluded for this region.</w:t>
      </w:r>
    </w:p>
    <w:p w:rsidR="002D50B8" w:rsidRDefault="002D50B8" w:rsidP="002D50B8">
      <w:pPr>
        <w:pStyle w:val="MJAsource"/>
        <w:rPr>
          <w:sz w:val="16"/>
        </w:rPr>
      </w:pPr>
      <w:r w:rsidRPr="00AE33C7">
        <w:rPr>
          <w:b/>
          <w:sz w:val="16"/>
          <w:szCs w:val="16"/>
        </w:rPr>
        <w:t xml:space="preserve">Data Sources: </w:t>
      </w:r>
      <w:r w:rsidRPr="00AE33C7">
        <w:rPr>
          <w:sz w:val="16"/>
          <w:szCs w:val="16"/>
        </w:rPr>
        <w:t>VI</w:t>
      </w:r>
      <w:r w:rsidRPr="00564276">
        <w:rPr>
          <w:sz w:val="16"/>
        </w:rPr>
        <w:t>C Water Register (waterregister.vic.gov.au/water-trading/water-share-tra</w:t>
      </w:r>
      <w:r w:rsidR="000A37A8">
        <w:rPr>
          <w:sz w:val="16"/>
        </w:rPr>
        <w:t xml:space="preserve">ding), National Water Exchange </w:t>
      </w:r>
      <w:r w:rsidR="000A37A8" w:rsidRPr="00F17E80">
        <w:rPr>
          <w:sz w:val="16"/>
        </w:rPr>
        <w:t>(</w:t>
      </w:r>
      <w:hyperlink r:id="rId44" w:history="1">
        <w:r w:rsidR="000A37A8" w:rsidRPr="00631B5E">
          <w:rPr>
            <w:rStyle w:val="Hyperlink"/>
            <w:sz w:val="16"/>
          </w:rPr>
          <w:t>www.waterexchange.com.au</w:t>
        </w:r>
      </w:hyperlink>
      <w:r w:rsidR="000A37A8" w:rsidRPr="00F17E80">
        <w:rPr>
          <w:sz w:val="16"/>
        </w:rPr>
        <w:t xml:space="preserve">), </w:t>
      </w:r>
      <w:proofErr w:type="spellStart"/>
      <w:r w:rsidR="000A37A8" w:rsidRPr="00F17E80">
        <w:rPr>
          <w:sz w:val="16"/>
        </w:rPr>
        <w:t>Waterfind</w:t>
      </w:r>
      <w:proofErr w:type="spellEnd"/>
      <w:r w:rsidR="000A37A8" w:rsidRPr="00F17E80">
        <w:rPr>
          <w:sz w:val="16"/>
        </w:rPr>
        <w:t xml:space="preserve"> (</w:t>
      </w:r>
      <w:hyperlink r:id="rId45" w:history="1">
        <w:r w:rsidR="000A37A8" w:rsidRPr="00F17E80">
          <w:rPr>
            <w:rStyle w:val="Hyperlink"/>
            <w:sz w:val="16"/>
          </w:rPr>
          <w:t>www.waterfind.com.au</w:t>
        </w:r>
      </w:hyperlink>
      <w:r w:rsidR="000A37A8" w:rsidRPr="00F17E80">
        <w:rPr>
          <w:sz w:val="16"/>
        </w:rPr>
        <w:t>)</w:t>
      </w:r>
      <w:r w:rsidR="000A37A8">
        <w:rPr>
          <w:sz w:val="16"/>
        </w:rPr>
        <w:t>, H2OX (</w:t>
      </w:r>
      <w:hyperlink r:id="rId46" w:history="1">
        <w:r w:rsidR="000A37A8" w:rsidRPr="00631B5E">
          <w:rPr>
            <w:rStyle w:val="Hyperlink"/>
            <w:sz w:val="16"/>
          </w:rPr>
          <w:t>www.h2ox.com</w:t>
        </w:r>
      </w:hyperlink>
      <w:r w:rsidR="000A37A8">
        <w:rPr>
          <w:sz w:val="16"/>
        </w:rPr>
        <w:t>)</w:t>
      </w:r>
    </w:p>
    <w:p w:rsidR="00EE00DE" w:rsidRPr="00564276" w:rsidRDefault="00EE00DE" w:rsidP="00EE00DE">
      <w:pPr>
        <w:rPr>
          <w:sz w:val="16"/>
        </w:rPr>
      </w:pPr>
      <w:r w:rsidRPr="00564276">
        <w:rPr>
          <w:sz w:val="16"/>
        </w:rPr>
        <w:br w:type="page"/>
      </w:r>
    </w:p>
    <w:p w:rsidR="00EE00DE" w:rsidRDefault="00EE00DE" w:rsidP="00EE00DE">
      <w:pPr>
        <w:pStyle w:val="MJAheading2"/>
      </w:pPr>
      <w:bookmarkStart w:id="28" w:name="_Toc441834748"/>
      <w:r>
        <w:t>Goulburn: High Reliability</w:t>
      </w:r>
      <w:bookmarkEnd w:id="28"/>
    </w:p>
    <w:p w:rsidR="00EE00DE" w:rsidRDefault="00EE00DE" w:rsidP="00EE00DE">
      <w:pPr>
        <w:pStyle w:val="Caption"/>
      </w:pPr>
      <w:bookmarkStart w:id="29" w:name="_Toc426386631"/>
      <w:r>
        <w:t xml:space="preserve">Figure </w:t>
      </w:r>
      <w:r w:rsidR="00C23339">
        <w:fldChar w:fldCharType="begin"/>
      </w:r>
      <w:r w:rsidR="00134558">
        <w:instrText xml:space="preserve"> SEQ Figure \* ARABIC </w:instrText>
      </w:r>
      <w:r w:rsidR="00C23339">
        <w:fldChar w:fldCharType="separate"/>
      </w:r>
      <w:r w:rsidR="00E00DC7">
        <w:rPr>
          <w:noProof/>
        </w:rPr>
        <w:t>13</w:t>
      </w:r>
      <w:r w:rsidR="00C23339">
        <w:rPr>
          <w:noProof/>
        </w:rPr>
        <w:fldChar w:fldCharType="end"/>
      </w:r>
      <w:r>
        <w:t>: Entitlement market prices and volumes</w:t>
      </w:r>
      <w:bookmarkEnd w:id="29"/>
    </w:p>
    <w:p w:rsidR="00B05314" w:rsidRPr="00B05314" w:rsidRDefault="00B05314" w:rsidP="00B05314">
      <w:pPr>
        <w:pStyle w:val="MJAnormal"/>
      </w:pPr>
      <w:r>
        <w:rPr>
          <w:noProof/>
          <w:lang w:eastAsia="en-AU"/>
        </w:rPr>
        <w:drawing>
          <wp:inline distT="0" distB="0" distL="0" distR="0">
            <wp:extent cx="5760000" cy="279056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EE00DE" w:rsidRPr="003A4303" w:rsidRDefault="00EE00DE" w:rsidP="00B05314">
      <w:pPr>
        <w:pStyle w:val="MJAnormal"/>
      </w:pPr>
    </w:p>
    <w:p w:rsidR="00EE00DE" w:rsidRDefault="00EE00DE" w:rsidP="00EE00DE">
      <w:pPr>
        <w:pStyle w:val="Caption"/>
      </w:pPr>
      <w:bookmarkStart w:id="30" w:name="_Toc426386573"/>
      <w:r>
        <w:t xml:space="preserve">Table </w:t>
      </w:r>
      <w:r w:rsidR="00C23339">
        <w:fldChar w:fldCharType="begin"/>
      </w:r>
      <w:r w:rsidR="00134558">
        <w:instrText xml:space="preserve"> SEQ Table \* ARABIC </w:instrText>
      </w:r>
      <w:r w:rsidR="00C23339">
        <w:fldChar w:fldCharType="separate"/>
      </w:r>
      <w:r w:rsidR="00E00DC7">
        <w:rPr>
          <w:noProof/>
        </w:rPr>
        <w:t>7</w:t>
      </w:r>
      <w:r w:rsidR="00C23339">
        <w:rPr>
          <w:noProof/>
        </w:rPr>
        <w:fldChar w:fldCharType="end"/>
      </w:r>
      <w:r>
        <w:t>: Entitlement market prices and volumes</w:t>
      </w:r>
      <w:bookmarkEnd w:id="30"/>
    </w:p>
    <w:tbl>
      <w:tblPr>
        <w:tblW w:w="5000" w:type="pct"/>
        <w:tblCellMar>
          <w:left w:w="28" w:type="dxa"/>
          <w:right w:w="28" w:type="dxa"/>
        </w:tblCellMar>
        <w:tblLook w:val="04A0"/>
      </w:tblPr>
      <w:tblGrid>
        <w:gridCol w:w="883"/>
        <w:gridCol w:w="917"/>
        <w:gridCol w:w="874"/>
        <w:gridCol w:w="748"/>
        <w:gridCol w:w="748"/>
        <w:gridCol w:w="748"/>
        <w:gridCol w:w="748"/>
        <w:gridCol w:w="761"/>
        <w:gridCol w:w="856"/>
        <w:gridCol w:w="856"/>
        <w:gridCol w:w="988"/>
      </w:tblGrid>
      <w:tr w:rsidR="00B76B7E" w:rsidRPr="00147005" w:rsidTr="00B05314">
        <w:trPr>
          <w:trHeight w:val="525"/>
        </w:trPr>
        <w:tc>
          <w:tcPr>
            <w:tcW w:w="1464" w:type="pct"/>
            <w:gridSpan w:val="3"/>
            <w:tcBorders>
              <w:top w:val="nil"/>
              <w:left w:val="nil"/>
              <w:bottom w:val="nil"/>
              <w:right w:val="nil"/>
            </w:tcBorders>
            <w:shd w:val="clear" w:color="000000" w:fill="0093D0"/>
            <w:noWrap/>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56" w:type="pct"/>
            <w:gridSpan w:val="5"/>
            <w:tcBorders>
              <w:top w:val="nil"/>
              <w:left w:val="single" w:sz="4" w:space="0" w:color="C5D9F1"/>
              <w:bottom w:val="nil"/>
              <w:right w:val="single" w:sz="4" w:space="0" w:color="C5D9F1"/>
            </w:tcBorders>
            <w:shd w:val="clear" w:color="000000" w:fill="0093D0"/>
            <w:noWrap/>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B76B7E" w:rsidRPr="00147005">
              <w:rPr>
                <w:rFonts w:eastAsia="Times New Roman"/>
                <w:b/>
                <w:bCs/>
                <w:color w:val="FFFFFF"/>
                <w:sz w:val="16"/>
                <w:szCs w:val="20"/>
                <w:lang w:eastAsia="en-AU"/>
              </w:rPr>
              <w:t xml:space="preserve"> 2015 Quarter (in $/ML)</w:t>
            </w:r>
          </w:p>
        </w:tc>
        <w:tc>
          <w:tcPr>
            <w:tcW w:w="469" w:type="pct"/>
            <w:vMerge w:val="restart"/>
            <w:tcBorders>
              <w:top w:val="nil"/>
              <w:left w:val="single" w:sz="4" w:space="0" w:color="C5D9F1"/>
              <w:right w:val="nil"/>
            </w:tcBorders>
            <w:shd w:val="clear" w:color="000000" w:fill="0093D0"/>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B76B7E">
              <w:rPr>
                <w:rFonts w:eastAsia="Times New Roman"/>
                <w:b/>
                <w:bCs/>
                <w:color w:val="FFFFFF"/>
                <w:sz w:val="16"/>
                <w:szCs w:val="20"/>
                <w:lang w:eastAsia="en-AU"/>
              </w:rPr>
              <w:t xml:space="preserve"> </w:t>
            </w:r>
            <w:r w:rsidR="00B76B7E" w:rsidRPr="00147005">
              <w:rPr>
                <w:rFonts w:eastAsia="Times New Roman"/>
                <w:b/>
                <w:bCs/>
                <w:color w:val="FFFFFF"/>
                <w:sz w:val="16"/>
                <w:szCs w:val="20"/>
                <w:lang w:eastAsia="en-AU"/>
              </w:rPr>
              <w:t>2015 Quarter Volume</w:t>
            </w:r>
            <w:r w:rsidR="00B76B7E">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B76B7E" w:rsidRPr="00147005">
              <w:rPr>
                <w:rFonts w:eastAsia="Times New Roman"/>
                <w:b/>
                <w:bCs/>
                <w:color w:val="FFFFFF"/>
                <w:sz w:val="16"/>
                <w:szCs w:val="20"/>
                <w:lang w:eastAsia="en-AU"/>
              </w:rPr>
              <w:t xml:space="preserve"> 2015 Quarter # of trades</w:t>
            </w:r>
          </w:p>
        </w:tc>
        <w:tc>
          <w:tcPr>
            <w:tcW w:w="542" w:type="pct"/>
            <w:vMerge w:val="restart"/>
            <w:tcBorders>
              <w:top w:val="nil"/>
              <w:left w:val="nil"/>
              <w:right w:val="nil"/>
            </w:tcBorders>
            <w:shd w:val="clear" w:color="000000" w:fill="0093D0"/>
            <w:vAlign w:val="center"/>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B76B7E" w:rsidRPr="00147005" w:rsidTr="0068175B">
        <w:trPr>
          <w:trHeight w:val="552"/>
        </w:trPr>
        <w:tc>
          <w:tcPr>
            <w:tcW w:w="483" w:type="pct"/>
            <w:tcBorders>
              <w:top w:val="nil"/>
              <w:left w:val="nil"/>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502" w:type="pct"/>
            <w:tcBorders>
              <w:top w:val="nil"/>
              <w:left w:val="nil"/>
              <w:bottom w:val="nil"/>
              <w:right w:val="nil"/>
            </w:tcBorders>
            <w:shd w:val="clear" w:color="000000" w:fill="0093D0"/>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B76B7E" w:rsidRPr="00147005">
              <w:rPr>
                <w:rFonts w:eastAsia="Times New Roman"/>
                <w:b/>
                <w:bCs/>
                <w:color w:val="FFFFFF"/>
                <w:sz w:val="16"/>
                <w:szCs w:val="20"/>
                <w:lang w:eastAsia="en-AU"/>
              </w:rPr>
              <w:t xml:space="preserve"> 2015 Quarter</w:t>
            </w:r>
          </w:p>
        </w:tc>
        <w:tc>
          <w:tcPr>
            <w:tcW w:w="478" w:type="pct"/>
            <w:tcBorders>
              <w:top w:val="nil"/>
              <w:left w:val="nil"/>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0" w:type="pct"/>
            <w:tcBorders>
              <w:top w:val="nil"/>
              <w:left w:val="single" w:sz="4" w:space="0" w:color="C5D9F1"/>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0" w:type="pct"/>
            <w:tcBorders>
              <w:top w:val="nil"/>
              <w:left w:val="nil"/>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0" w:type="pct"/>
            <w:tcBorders>
              <w:top w:val="nil"/>
              <w:left w:val="nil"/>
              <w:bottom w:val="nil"/>
              <w:right w:val="nil"/>
            </w:tcBorders>
            <w:shd w:val="clear" w:color="000000" w:fill="0093D0"/>
            <w:vAlign w:val="center"/>
            <w:hideMark/>
          </w:tcPr>
          <w:p w:rsidR="00B76B7E" w:rsidRPr="00147005" w:rsidRDefault="00042726"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Median</w:t>
            </w:r>
          </w:p>
        </w:tc>
        <w:tc>
          <w:tcPr>
            <w:tcW w:w="410" w:type="pct"/>
            <w:tcBorders>
              <w:top w:val="nil"/>
              <w:left w:val="nil"/>
              <w:bottom w:val="nil"/>
              <w:right w:val="nil"/>
            </w:tcBorders>
            <w:shd w:val="clear" w:color="000000" w:fill="0093D0"/>
            <w:vAlign w:val="center"/>
            <w:hideMark/>
          </w:tcPr>
          <w:p w:rsidR="00B76B7E" w:rsidRPr="00147005" w:rsidRDefault="00042726"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Mean</w:t>
            </w:r>
          </w:p>
        </w:tc>
        <w:tc>
          <w:tcPr>
            <w:tcW w:w="417" w:type="pct"/>
            <w:tcBorders>
              <w:top w:val="nil"/>
              <w:left w:val="nil"/>
              <w:bottom w:val="nil"/>
              <w:right w:val="single" w:sz="4" w:space="0" w:color="C5D9F1"/>
            </w:tcBorders>
            <w:shd w:val="clear" w:color="000000" w:fill="0093D0"/>
            <w:vAlign w:val="center"/>
            <w:hideMark/>
          </w:tcPr>
          <w:p w:rsidR="00B76B7E" w:rsidRPr="00147005" w:rsidRDefault="00042726"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rsidR="00B76B7E" w:rsidRPr="00147005" w:rsidRDefault="00B76B7E" w:rsidP="00B76B7E">
            <w:pPr>
              <w:spacing w:after="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rsidR="00B76B7E" w:rsidRPr="00147005" w:rsidRDefault="00B76B7E" w:rsidP="00B76B7E">
            <w:pPr>
              <w:spacing w:after="0" w:line="240" w:lineRule="auto"/>
              <w:rPr>
                <w:rFonts w:eastAsia="Times New Roman"/>
                <w:b/>
                <w:bCs/>
                <w:color w:val="FFFFFF"/>
                <w:sz w:val="16"/>
                <w:szCs w:val="20"/>
                <w:lang w:eastAsia="en-AU"/>
              </w:rPr>
            </w:pPr>
          </w:p>
        </w:tc>
        <w:tc>
          <w:tcPr>
            <w:tcW w:w="542" w:type="pct"/>
            <w:vMerge/>
            <w:tcBorders>
              <w:left w:val="nil"/>
              <w:bottom w:val="nil"/>
              <w:right w:val="nil"/>
            </w:tcBorders>
            <w:vAlign w:val="center"/>
          </w:tcPr>
          <w:p w:rsidR="00B76B7E" w:rsidRPr="00147005" w:rsidRDefault="00B76B7E" w:rsidP="00B76B7E">
            <w:pPr>
              <w:spacing w:after="0" w:line="240" w:lineRule="auto"/>
              <w:rPr>
                <w:rFonts w:eastAsia="Times New Roman"/>
                <w:b/>
                <w:bCs/>
                <w:color w:val="FFFFFF"/>
                <w:sz w:val="16"/>
                <w:szCs w:val="20"/>
                <w:lang w:eastAsia="en-AU"/>
              </w:rPr>
            </w:pPr>
          </w:p>
        </w:tc>
      </w:tr>
      <w:tr w:rsidR="00B05314" w:rsidRPr="00147005" w:rsidTr="0068175B">
        <w:trPr>
          <w:trHeight w:val="555"/>
        </w:trPr>
        <w:tc>
          <w:tcPr>
            <w:tcW w:w="483" w:type="pct"/>
            <w:tcBorders>
              <w:top w:val="nil"/>
              <w:left w:val="nil"/>
              <w:bottom w:val="single" w:sz="4" w:space="0" w:color="0093D0"/>
              <w:right w:val="nil"/>
            </w:tcBorders>
            <w:shd w:val="clear" w:color="auto" w:fill="auto"/>
            <w:noWrap/>
            <w:vAlign w:val="center"/>
            <w:hideMark/>
          </w:tcPr>
          <w:p w:rsidR="00B05314" w:rsidRDefault="00B05314" w:rsidP="00B05314">
            <w:pPr>
              <w:spacing w:after="0" w:line="240" w:lineRule="auto"/>
              <w:jc w:val="center"/>
              <w:rPr>
                <w:b/>
                <w:bCs/>
                <w:color w:val="000000"/>
                <w:sz w:val="16"/>
                <w:szCs w:val="16"/>
                <w:lang w:eastAsia="en-AU"/>
              </w:rPr>
            </w:pPr>
            <w:r>
              <w:rPr>
                <w:b/>
                <w:bCs/>
                <w:color w:val="000000"/>
                <w:sz w:val="16"/>
                <w:szCs w:val="16"/>
              </w:rPr>
              <w:t>2,568</w:t>
            </w:r>
          </w:p>
        </w:tc>
        <w:tc>
          <w:tcPr>
            <w:tcW w:w="502" w:type="pct"/>
            <w:tcBorders>
              <w:top w:val="nil"/>
              <w:left w:val="nil"/>
              <w:bottom w:val="single" w:sz="4" w:space="0" w:color="0093D0"/>
              <w:right w:val="nil"/>
            </w:tcBorders>
            <w:shd w:val="clear" w:color="auto" w:fill="auto"/>
            <w:noWrap/>
            <w:vAlign w:val="center"/>
            <w:hideMark/>
          </w:tcPr>
          <w:p w:rsidR="00B05314" w:rsidRDefault="00B05314" w:rsidP="00B05314">
            <w:pPr>
              <w:spacing w:after="0" w:line="240" w:lineRule="auto"/>
              <w:jc w:val="center"/>
              <w:rPr>
                <w:b/>
                <w:bCs/>
                <w:color w:val="000000"/>
                <w:sz w:val="16"/>
                <w:szCs w:val="16"/>
              </w:rPr>
            </w:pPr>
            <w:r>
              <w:rPr>
                <w:b/>
                <w:bCs/>
                <w:color w:val="000000"/>
                <w:sz w:val="16"/>
                <w:szCs w:val="16"/>
              </w:rPr>
              <w:t>2,336</w:t>
            </w:r>
          </w:p>
        </w:tc>
        <w:tc>
          <w:tcPr>
            <w:tcW w:w="478" w:type="pct"/>
            <w:tcBorders>
              <w:top w:val="nil"/>
              <w:left w:val="nil"/>
              <w:bottom w:val="single" w:sz="4" w:space="0" w:color="0093D0"/>
              <w:right w:val="nil"/>
            </w:tcBorders>
            <w:shd w:val="clear" w:color="auto" w:fill="auto"/>
            <w:noWrap/>
            <w:vAlign w:val="center"/>
            <w:hideMark/>
          </w:tcPr>
          <w:p w:rsidR="00B05314" w:rsidRDefault="00B05314" w:rsidP="00B05314">
            <w:pPr>
              <w:spacing w:after="0" w:line="240" w:lineRule="auto"/>
              <w:jc w:val="center"/>
              <w:rPr>
                <w:b/>
                <w:bCs/>
                <w:color w:val="000000"/>
                <w:sz w:val="16"/>
                <w:szCs w:val="16"/>
              </w:rPr>
            </w:pPr>
            <w:r>
              <w:rPr>
                <w:b/>
                <w:bCs/>
                <w:color w:val="000000"/>
                <w:sz w:val="16"/>
                <w:szCs w:val="16"/>
              </w:rPr>
              <w:t>2,234</w:t>
            </w:r>
          </w:p>
        </w:tc>
        <w:tc>
          <w:tcPr>
            <w:tcW w:w="410" w:type="pct"/>
            <w:tcBorders>
              <w:top w:val="nil"/>
              <w:left w:val="nil"/>
              <w:bottom w:val="single" w:sz="4" w:space="0" w:color="0093D0"/>
              <w:right w:val="nil"/>
            </w:tcBorders>
            <w:shd w:val="clear" w:color="auto" w:fill="auto"/>
            <w:noWrap/>
            <w:vAlign w:val="center"/>
            <w:hideMark/>
          </w:tcPr>
          <w:p w:rsidR="00B05314" w:rsidRDefault="00B05314" w:rsidP="00B05314">
            <w:pPr>
              <w:spacing w:after="0" w:line="240" w:lineRule="auto"/>
              <w:jc w:val="center"/>
              <w:rPr>
                <w:b/>
                <w:bCs/>
                <w:color w:val="000000"/>
                <w:sz w:val="16"/>
                <w:szCs w:val="16"/>
              </w:rPr>
            </w:pPr>
            <w:r>
              <w:rPr>
                <w:b/>
                <w:bCs/>
                <w:color w:val="000000"/>
                <w:sz w:val="16"/>
                <w:szCs w:val="16"/>
              </w:rPr>
              <w:t>2,000</w:t>
            </w:r>
          </w:p>
        </w:tc>
        <w:tc>
          <w:tcPr>
            <w:tcW w:w="410" w:type="pct"/>
            <w:tcBorders>
              <w:top w:val="nil"/>
              <w:left w:val="nil"/>
              <w:bottom w:val="single" w:sz="4" w:space="0" w:color="0093D0"/>
              <w:right w:val="nil"/>
            </w:tcBorders>
            <w:shd w:val="clear" w:color="auto" w:fill="auto"/>
            <w:noWrap/>
            <w:vAlign w:val="center"/>
            <w:hideMark/>
          </w:tcPr>
          <w:p w:rsidR="00B05314" w:rsidRDefault="00B05314" w:rsidP="00B05314">
            <w:pPr>
              <w:spacing w:after="0" w:line="240" w:lineRule="auto"/>
              <w:jc w:val="center"/>
              <w:rPr>
                <w:b/>
                <w:bCs/>
                <w:color w:val="000000"/>
                <w:sz w:val="16"/>
                <w:szCs w:val="16"/>
              </w:rPr>
            </w:pPr>
            <w:r>
              <w:rPr>
                <w:b/>
                <w:bCs/>
                <w:color w:val="000000"/>
                <w:sz w:val="16"/>
                <w:szCs w:val="16"/>
              </w:rPr>
              <w:t>2,480</w:t>
            </w:r>
          </w:p>
        </w:tc>
        <w:tc>
          <w:tcPr>
            <w:tcW w:w="410" w:type="pct"/>
            <w:tcBorders>
              <w:top w:val="nil"/>
              <w:left w:val="nil"/>
              <w:bottom w:val="single" w:sz="4" w:space="0" w:color="0093D0"/>
              <w:right w:val="nil"/>
            </w:tcBorders>
            <w:shd w:val="clear" w:color="auto" w:fill="auto"/>
            <w:noWrap/>
            <w:vAlign w:val="center"/>
            <w:hideMark/>
          </w:tcPr>
          <w:p w:rsidR="00B05314" w:rsidRDefault="00B05314" w:rsidP="00B05314">
            <w:pPr>
              <w:spacing w:after="0" w:line="240" w:lineRule="auto"/>
              <w:jc w:val="center"/>
              <w:rPr>
                <w:b/>
                <w:bCs/>
                <w:color w:val="000000"/>
                <w:sz w:val="16"/>
                <w:szCs w:val="16"/>
              </w:rPr>
            </w:pPr>
            <w:r>
              <w:rPr>
                <w:b/>
                <w:bCs/>
                <w:color w:val="000000"/>
                <w:sz w:val="16"/>
                <w:szCs w:val="16"/>
              </w:rPr>
              <w:t>2,300</w:t>
            </w:r>
          </w:p>
        </w:tc>
        <w:tc>
          <w:tcPr>
            <w:tcW w:w="410" w:type="pct"/>
            <w:tcBorders>
              <w:top w:val="nil"/>
              <w:left w:val="nil"/>
              <w:bottom w:val="single" w:sz="4" w:space="0" w:color="0093D0"/>
              <w:right w:val="nil"/>
            </w:tcBorders>
            <w:shd w:val="clear" w:color="auto" w:fill="auto"/>
            <w:noWrap/>
            <w:vAlign w:val="center"/>
            <w:hideMark/>
          </w:tcPr>
          <w:p w:rsidR="00B05314" w:rsidRDefault="00B05314" w:rsidP="00B05314">
            <w:pPr>
              <w:spacing w:after="0" w:line="240" w:lineRule="auto"/>
              <w:jc w:val="center"/>
              <w:rPr>
                <w:b/>
                <w:bCs/>
                <w:color w:val="000000"/>
                <w:sz w:val="16"/>
                <w:szCs w:val="16"/>
              </w:rPr>
            </w:pPr>
            <w:r>
              <w:rPr>
                <w:b/>
                <w:bCs/>
                <w:color w:val="000000"/>
                <w:sz w:val="16"/>
                <w:szCs w:val="16"/>
              </w:rPr>
              <w:t>2,210</w:t>
            </w:r>
          </w:p>
        </w:tc>
        <w:tc>
          <w:tcPr>
            <w:tcW w:w="417" w:type="pct"/>
            <w:tcBorders>
              <w:top w:val="nil"/>
              <w:left w:val="nil"/>
              <w:bottom w:val="single" w:sz="4" w:space="0" w:color="0093D0"/>
              <w:right w:val="nil"/>
            </w:tcBorders>
            <w:shd w:val="clear" w:color="auto" w:fill="auto"/>
            <w:noWrap/>
            <w:vAlign w:val="center"/>
            <w:hideMark/>
          </w:tcPr>
          <w:p w:rsidR="00B05314" w:rsidRDefault="00B05314" w:rsidP="00B05314">
            <w:pPr>
              <w:spacing w:after="0" w:line="240" w:lineRule="auto"/>
              <w:jc w:val="center"/>
              <w:rPr>
                <w:b/>
                <w:bCs/>
                <w:color w:val="000000"/>
                <w:sz w:val="16"/>
                <w:szCs w:val="16"/>
              </w:rPr>
            </w:pPr>
            <w:r>
              <w:rPr>
                <w:b/>
                <w:bCs/>
                <w:color w:val="000000"/>
                <w:sz w:val="16"/>
                <w:szCs w:val="16"/>
              </w:rPr>
              <w:t>2,400</w:t>
            </w:r>
          </w:p>
        </w:tc>
        <w:tc>
          <w:tcPr>
            <w:tcW w:w="469" w:type="pct"/>
            <w:tcBorders>
              <w:top w:val="nil"/>
              <w:left w:val="nil"/>
              <w:bottom w:val="single" w:sz="4" w:space="0" w:color="0093D0"/>
              <w:right w:val="nil"/>
            </w:tcBorders>
            <w:shd w:val="clear" w:color="auto" w:fill="auto"/>
            <w:noWrap/>
            <w:vAlign w:val="center"/>
            <w:hideMark/>
          </w:tcPr>
          <w:p w:rsidR="00B05314" w:rsidRDefault="00B05314" w:rsidP="00B05314">
            <w:pPr>
              <w:spacing w:after="0" w:line="240" w:lineRule="auto"/>
              <w:jc w:val="center"/>
              <w:rPr>
                <w:b/>
                <w:bCs/>
                <w:color w:val="000000"/>
                <w:sz w:val="16"/>
                <w:szCs w:val="16"/>
              </w:rPr>
            </w:pPr>
            <w:r>
              <w:rPr>
                <w:b/>
                <w:bCs/>
                <w:color w:val="000000"/>
                <w:sz w:val="16"/>
                <w:szCs w:val="16"/>
              </w:rPr>
              <w:t>9,839</w:t>
            </w:r>
          </w:p>
        </w:tc>
        <w:tc>
          <w:tcPr>
            <w:tcW w:w="469" w:type="pct"/>
            <w:tcBorders>
              <w:top w:val="nil"/>
              <w:left w:val="nil"/>
              <w:bottom w:val="single" w:sz="4" w:space="0" w:color="0093D0"/>
              <w:right w:val="nil"/>
            </w:tcBorders>
            <w:shd w:val="clear" w:color="auto" w:fill="auto"/>
            <w:noWrap/>
            <w:vAlign w:val="center"/>
            <w:hideMark/>
          </w:tcPr>
          <w:p w:rsidR="00B05314" w:rsidRDefault="00B05314" w:rsidP="00B05314">
            <w:pPr>
              <w:spacing w:after="0" w:line="240" w:lineRule="auto"/>
              <w:jc w:val="center"/>
              <w:rPr>
                <w:b/>
                <w:bCs/>
                <w:color w:val="000000"/>
                <w:sz w:val="16"/>
                <w:szCs w:val="16"/>
              </w:rPr>
            </w:pPr>
            <w:r>
              <w:rPr>
                <w:b/>
                <w:bCs/>
                <w:color w:val="000000"/>
                <w:sz w:val="16"/>
                <w:szCs w:val="16"/>
              </w:rPr>
              <w:t>167</w:t>
            </w:r>
          </w:p>
        </w:tc>
        <w:tc>
          <w:tcPr>
            <w:tcW w:w="542" w:type="pct"/>
            <w:tcBorders>
              <w:top w:val="nil"/>
              <w:left w:val="nil"/>
              <w:bottom w:val="single" w:sz="4" w:space="0" w:color="0093D0"/>
              <w:right w:val="nil"/>
            </w:tcBorders>
            <w:vAlign w:val="center"/>
          </w:tcPr>
          <w:p w:rsidR="00B05314" w:rsidRPr="00147005" w:rsidRDefault="00B05314" w:rsidP="00B05314">
            <w:pPr>
              <w:spacing w:after="0" w:line="240" w:lineRule="auto"/>
              <w:jc w:val="center"/>
              <w:rPr>
                <w:rFonts w:eastAsia="Times New Roman"/>
                <w:b/>
                <w:bCs/>
                <w:color w:val="000000"/>
                <w:sz w:val="16"/>
                <w:szCs w:val="20"/>
                <w:lang w:eastAsia="en-AU"/>
              </w:rPr>
            </w:pPr>
            <w:r w:rsidRPr="00B05314">
              <w:rPr>
                <w:rFonts w:eastAsia="Times New Roman"/>
                <w:b/>
                <w:bCs/>
                <w:color w:val="000000"/>
                <w:sz w:val="16"/>
                <w:szCs w:val="20"/>
                <w:lang w:eastAsia="en-AU"/>
              </w:rPr>
              <w:t>2,800 – 3,000</w:t>
            </w:r>
          </w:p>
        </w:tc>
      </w:tr>
    </w:tbl>
    <w:p w:rsidR="00EE00DE" w:rsidRPr="003A4303" w:rsidRDefault="00EE00DE" w:rsidP="00EE00DE">
      <w:pPr>
        <w:pStyle w:val="MJAnormal"/>
      </w:pPr>
    </w:p>
    <w:p w:rsidR="00EE00DE" w:rsidRDefault="00EE00DE" w:rsidP="00EE00DE">
      <w:pPr>
        <w:pStyle w:val="Caption"/>
      </w:pPr>
      <w:bookmarkStart w:id="31" w:name="_Toc426386632"/>
      <w:r>
        <w:t xml:space="preserve">Figure </w:t>
      </w:r>
      <w:r w:rsidR="00C23339">
        <w:fldChar w:fldCharType="begin"/>
      </w:r>
      <w:r w:rsidR="00134558">
        <w:instrText xml:space="preserve"> SEQ Figure \* ARABIC </w:instrText>
      </w:r>
      <w:r w:rsidR="00C23339">
        <w:fldChar w:fldCharType="separate"/>
      </w:r>
      <w:r w:rsidR="00E00DC7">
        <w:rPr>
          <w:noProof/>
        </w:rPr>
        <w:t>14</w:t>
      </w:r>
      <w:r w:rsidR="00C23339">
        <w:rPr>
          <w:noProof/>
        </w:rPr>
        <w:fldChar w:fldCharType="end"/>
      </w:r>
      <w:r>
        <w:t>: Entitlement market price range by volume</w:t>
      </w:r>
      <w:bookmarkEnd w:id="31"/>
    </w:p>
    <w:p w:rsidR="00EE00DE" w:rsidRDefault="00B05314" w:rsidP="00EE00DE">
      <w:pPr>
        <w:pStyle w:val="MJAnormal"/>
      </w:pPr>
      <w:r>
        <w:rPr>
          <w:noProof/>
          <w:lang w:eastAsia="en-AU"/>
        </w:rPr>
        <w:drawing>
          <wp:inline distT="0" distB="0" distL="0" distR="0">
            <wp:extent cx="5760000" cy="207310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073101"/>
                    </a:xfrm>
                    <a:prstGeom prst="rect">
                      <a:avLst/>
                    </a:prstGeom>
                    <a:noFill/>
                  </pic:spPr>
                </pic:pic>
              </a:graphicData>
            </a:graphic>
          </wp:inline>
        </w:drawing>
      </w:r>
    </w:p>
    <w:p w:rsidR="00BF578C" w:rsidRDefault="00BF578C" w:rsidP="00BF578C">
      <w:pPr>
        <w:pStyle w:val="MJAsource"/>
        <w:rPr>
          <w:b/>
          <w:sz w:val="16"/>
        </w:rPr>
      </w:pPr>
    </w:p>
    <w:p w:rsidR="002D50B8" w:rsidRDefault="002D50B8" w:rsidP="002D50B8">
      <w:pPr>
        <w:pStyle w:val="MJAsource"/>
        <w:rPr>
          <w:sz w:val="16"/>
        </w:rPr>
      </w:pPr>
      <w:r w:rsidRPr="00AE33C7">
        <w:rPr>
          <w:b/>
          <w:sz w:val="16"/>
          <w:szCs w:val="16"/>
        </w:rPr>
        <w:t xml:space="preserve">Data Sources: </w:t>
      </w:r>
      <w:r w:rsidRPr="00AE33C7">
        <w:rPr>
          <w:sz w:val="16"/>
          <w:szCs w:val="16"/>
        </w:rPr>
        <w:t>VIC</w:t>
      </w:r>
      <w:r w:rsidRPr="00564276">
        <w:rPr>
          <w:sz w:val="16"/>
        </w:rPr>
        <w:t xml:space="preserve"> Water Register (waterregister.vic.gov.au/water-trading/water-share-trading), National Water Exchange </w:t>
      </w:r>
      <w:r w:rsidR="000A37A8" w:rsidRPr="00F17E80">
        <w:rPr>
          <w:sz w:val="16"/>
        </w:rPr>
        <w:t>(</w:t>
      </w:r>
      <w:hyperlink r:id="rId49" w:history="1">
        <w:r w:rsidR="000A37A8" w:rsidRPr="00631B5E">
          <w:rPr>
            <w:rStyle w:val="Hyperlink"/>
            <w:sz w:val="16"/>
          </w:rPr>
          <w:t>www.waterexchange.com.au</w:t>
        </w:r>
      </w:hyperlink>
      <w:r w:rsidR="000A37A8" w:rsidRPr="00F17E80">
        <w:rPr>
          <w:sz w:val="16"/>
        </w:rPr>
        <w:t xml:space="preserve">), </w:t>
      </w:r>
      <w:proofErr w:type="spellStart"/>
      <w:r w:rsidR="000A37A8" w:rsidRPr="00F17E80">
        <w:rPr>
          <w:sz w:val="16"/>
        </w:rPr>
        <w:t>Waterfind</w:t>
      </w:r>
      <w:proofErr w:type="spellEnd"/>
      <w:r w:rsidR="000A37A8" w:rsidRPr="00F17E80">
        <w:rPr>
          <w:sz w:val="16"/>
        </w:rPr>
        <w:t xml:space="preserve"> (</w:t>
      </w:r>
      <w:hyperlink r:id="rId50" w:history="1">
        <w:r w:rsidR="000A37A8" w:rsidRPr="00F17E80">
          <w:rPr>
            <w:rStyle w:val="Hyperlink"/>
            <w:sz w:val="16"/>
          </w:rPr>
          <w:t>www.waterfind.com.au</w:t>
        </w:r>
      </w:hyperlink>
      <w:r w:rsidR="000A37A8" w:rsidRPr="00F17E80">
        <w:rPr>
          <w:sz w:val="16"/>
        </w:rPr>
        <w:t>)</w:t>
      </w:r>
      <w:r w:rsidR="000A37A8">
        <w:rPr>
          <w:sz w:val="16"/>
        </w:rPr>
        <w:t>, H2OX (</w:t>
      </w:r>
      <w:hyperlink r:id="rId51" w:history="1">
        <w:r w:rsidR="000A37A8" w:rsidRPr="00631B5E">
          <w:rPr>
            <w:rStyle w:val="Hyperlink"/>
            <w:sz w:val="16"/>
          </w:rPr>
          <w:t>www.h2ox.com</w:t>
        </w:r>
      </w:hyperlink>
      <w:r w:rsidR="000A37A8">
        <w:rPr>
          <w:sz w:val="16"/>
        </w:rPr>
        <w:t>)</w:t>
      </w:r>
    </w:p>
    <w:p w:rsidR="00EE00DE" w:rsidRDefault="00EE00DE" w:rsidP="00EE00DE">
      <w:pPr>
        <w:tabs>
          <w:tab w:val="center" w:pos="4252"/>
        </w:tabs>
        <w:spacing w:after="0"/>
        <w:rPr>
          <w:sz w:val="18"/>
        </w:rPr>
      </w:pPr>
    </w:p>
    <w:p w:rsidR="00EE00DE" w:rsidRDefault="00EE00DE" w:rsidP="00EE00DE">
      <w:pPr>
        <w:rPr>
          <w:sz w:val="18"/>
        </w:rPr>
      </w:pPr>
      <w:r>
        <w:rPr>
          <w:sz w:val="18"/>
        </w:rPr>
        <w:br w:type="page"/>
      </w:r>
    </w:p>
    <w:p w:rsidR="00EE00DE" w:rsidRDefault="00EE00DE" w:rsidP="00EE00DE">
      <w:pPr>
        <w:pStyle w:val="MJAheading2"/>
      </w:pPr>
      <w:bookmarkStart w:id="32" w:name="_Toc441834749"/>
      <w:r>
        <w:t>Goulburn: Low Reliability</w:t>
      </w:r>
      <w:bookmarkEnd w:id="32"/>
    </w:p>
    <w:p w:rsidR="00EE00DE" w:rsidRDefault="00EE00DE" w:rsidP="00EE00DE">
      <w:pPr>
        <w:pStyle w:val="Caption"/>
      </w:pPr>
      <w:bookmarkStart w:id="33" w:name="_Toc426386633"/>
      <w:r>
        <w:t xml:space="preserve">Figure </w:t>
      </w:r>
      <w:r w:rsidR="00C23339">
        <w:fldChar w:fldCharType="begin"/>
      </w:r>
      <w:r w:rsidR="00134558">
        <w:instrText xml:space="preserve"> SEQ Figure \* ARABIC </w:instrText>
      </w:r>
      <w:r w:rsidR="00C23339">
        <w:fldChar w:fldCharType="separate"/>
      </w:r>
      <w:r w:rsidR="00E00DC7">
        <w:rPr>
          <w:noProof/>
        </w:rPr>
        <w:t>15</w:t>
      </w:r>
      <w:r w:rsidR="00C23339">
        <w:rPr>
          <w:noProof/>
        </w:rPr>
        <w:fldChar w:fldCharType="end"/>
      </w:r>
      <w:r>
        <w:t>: Entitlement market prices and volumes</w:t>
      </w:r>
      <w:bookmarkEnd w:id="33"/>
    </w:p>
    <w:p w:rsidR="00B05314" w:rsidRPr="00B05314" w:rsidRDefault="00B05314" w:rsidP="00B05314">
      <w:pPr>
        <w:pStyle w:val="MJAnormal"/>
      </w:pPr>
      <w:r>
        <w:rPr>
          <w:noProof/>
          <w:lang w:eastAsia="en-AU"/>
        </w:rPr>
        <w:drawing>
          <wp:inline distT="0" distB="0" distL="0" distR="0">
            <wp:extent cx="5760000" cy="27905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EE00DE" w:rsidRPr="003A4303" w:rsidRDefault="00EE00DE" w:rsidP="00B05314">
      <w:pPr>
        <w:pStyle w:val="MJAnormal"/>
      </w:pPr>
    </w:p>
    <w:p w:rsidR="00EE00DE" w:rsidRDefault="00EE00DE" w:rsidP="00EE00DE">
      <w:pPr>
        <w:pStyle w:val="Caption"/>
      </w:pPr>
      <w:bookmarkStart w:id="34" w:name="_Toc426386575"/>
      <w:r>
        <w:t xml:space="preserve">Table </w:t>
      </w:r>
      <w:r w:rsidR="00C23339">
        <w:fldChar w:fldCharType="begin"/>
      </w:r>
      <w:r w:rsidR="00134558">
        <w:instrText xml:space="preserve"> SEQ Table \* ARABIC </w:instrText>
      </w:r>
      <w:r w:rsidR="00C23339">
        <w:fldChar w:fldCharType="separate"/>
      </w:r>
      <w:r w:rsidR="00E00DC7">
        <w:rPr>
          <w:noProof/>
        </w:rPr>
        <w:t>8</w:t>
      </w:r>
      <w:r w:rsidR="00C23339">
        <w:rPr>
          <w:noProof/>
        </w:rPr>
        <w:fldChar w:fldCharType="end"/>
      </w:r>
      <w:r>
        <w:t>: Entitlement market prices and volumes</w:t>
      </w:r>
      <w:bookmarkEnd w:id="34"/>
    </w:p>
    <w:tbl>
      <w:tblPr>
        <w:tblW w:w="5000" w:type="pct"/>
        <w:tblCellMar>
          <w:left w:w="28" w:type="dxa"/>
          <w:right w:w="28" w:type="dxa"/>
        </w:tblCellMar>
        <w:tblLook w:val="04A0"/>
      </w:tblPr>
      <w:tblGrid>
        <w:gridCol w:w="880"/>
        <w:gridCol w:w="918"/>
        <w:gridCol w:w="873"/>
        <w:gridCol w:w="750"/>
        <w:gridCol w:w="750"/>
        <w:gridCol w:w="750"/>
        <w:gridCol w:w="752"/>
        <w:gridCol w:w="756"/>
        <w:gridCol w:w="854"/>
        <w:gridCol w:w="856"/>
        <w:gridCol w:w="988"/>
      </w:tblGrid>
      <w:tr w:rsidR="00B76B7E" w:rsidRPr="00147005" w:rsidTr="0068175B">
        <w:trPr>
          <w:trHeight w:val="525"/>
        </w:trPr>
        <w:tc>
          <w:tcPr>
            <w:tcW w:w="1463" w:type="pct"/>
            <w:gridSpan w:val="3"/>
            <w:tcBorders>
              <w:top w:val="nil"/>
              <w:left w:val="nil"/>
              <w:bottom w:val="nil"/>
              <w:right w:val="nil"/>
            </w:tcBorders>
            <w:shd w:val="clear" w:color="000000" w:fill="0093D0"/>
            <w:noWrap/>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59" w:type="pct"/>
            <w:gridSpan w:val="5"/>
            <w:tcBorders>
              <w:top w:val="nil"/>
              <w:left w:val="single" w:sz="4" w:space="0" w:color="C5D9F1"/>
              <w:bottom w:val="nil"/>
              <w:right w:val="single" w:sz="4" w:space="0" w:color="C5D9F1"/>
            </w:tcBorders>
            <w:shd w:val="clear" w:color="000000" w:fill="0093D0"/>
            <w:noWrap/>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B76B7E" w:rsidRPr="00147005">
              <w:rPr>
                <w:rFonts w:eastAsia="Times New Roman"/>
                <w:b/>
                <w:bCs/>
                <w:color w:val="FFFFFF"/>
                <w:sz w:val="16"/>
                <w:szCs w:val="20"/>
                <w:lang w:eastAsia="en-AU"/>
              </w:rPr>
              <w:t xml:space="preserve"> 2015 Quarter (in $/ML)</w:t>
            </w:r>
          </w:p>
        </w:tc>
        <w:tc>
          <w:tcPr>
            <w:tcW w:w="468" w:type="pct"/>
            <w:vMerge w:val="restart"/>
            <w:tcBorders>
              <w:top w:val="nil"/>
              <w:left w:val="single" w:sz="4" w:space="0" w:color="C5D9F1"/>
              <w:right w:val="nil"/>
            </w:tcBorders>
            <w:shd w:val="clear" w:color="000000" w:fill="0093D0"/>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B76B7E">
              <w:rPr>
                <w:rFonts w:eastAsia="Times New Roman"/>
                <w:b/>
                <w:bCs/>
                <w:color w:val="FFFFFF"/>
                <w:sz w:val="16"/>
                <w:szCs w:val="20"/>
                <w:lang w:eastAsia="en-AU"/>
              </w:rPr>
              <w:t xml:space="preserve"> </w:t>
            </w:r>
            <w:r w:rsidR="00B76B7E" w:rsidRPr="00147005">
              <w:rPr>
                <w:rFonts w:eastAsia="Times New Roman"/>
                <w:b/>
                <w:bCs/>
                <w:color w:val="FFFFFF"/>
                <w:sz w:val="16"/>
                <w:szCs w:val="20"/>
                <w:lang w:eastAsia="en-AU"/>
              </w:rPr>
              <w:t>2015 Quarter Volume</w:t>
            </w:r>
            <w:r w:rsidR="00B76B7E">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B76B7E" w:rsidRPr="00147005">
              <w:rPr>
                <w:rFonts w:eastAsia="Times New Roman"/>
                <w:b/>
                <w:bCs/>
                <w:color w:val="FFFFFF"/>
                <w:sz w:val="16"/>
                <w:szCs w:val="20"/>
                <w:lang w:eastAsia="en-AU"/>
              </w:rPr>
              <w:t xml:space="preserve"> 2015 Quarter # of trades</w:t>
            </w:r>
          </w:p>
        </w:tc>
        <w:tc>
          <w:tcPr>
            <w:tcW w:w="541" w:type="pct"/>
            <w:vMerge w:val="restart"/>
            <w:tcBorders>
              <w:top w:val="nil"/>
              <w:left w:val="nil"/>
              <w:right w:val="nil"/>
            </w:tcBorders>
            <w:shd w:val="clear" w:color="000000" w:fill="0093D0"/>
            <w:vAlign w:val="center"/>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B76B7E" w:rsidRPr="00147005" w:rsidTr="0068175B">
        <w:trPr>
          <w:trHeight w:val="552"/>
        </w:trPr>
        <w:tc>
          <w:tcPr>
            <w:tcW w:w="482" w:type="pct"/>
            <w:tcBorders>
              <w:top w:val="nil"/>
              <w:left w:val="nil"/>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503" w:type="pct"/>
            <w:tcBorders>
              <w:top w:val="nil"/>
              <w:left w:val="nil"/>
              <w:bottom w:val="nil"/>
              <w:right w:val="nil"/>
            </w:tcBorders>
            <w:shd w:val="clear" w:color="000000" w:fill="0093D0"/>
            <w:vAlign w:val="center"/>
            <w:hideMark/>
          </w:tcPr>
          <w:p w:rsidR="00B76B7E" w:rsidRPr="00147005" w:rsidRDefault="004F1321"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B76B7E" w:rsidRPr="00147005">
              <w:rPr>
                <w:rFonts w:eastAsia="Times New Roman"/>
                <w:b/>
                <w:bCs/>
                <w:color w:val="FFFFFF"/>
                <w:sz w:val="16"/>
                <w:szCs w:val="20"/>
                <w:lang w:eastAsia="en-AU"/>
              </w:rPr>
              <w:t xml:space="preserve"> 2015 Quarter</w:t>
            </w:r>
          </w:p>
        </w:tc>
        <w:tc>
          <w:tcPr>
            <w:tcW w:w="478" w:type="pct"/>
            <w:tcBorders>
              <w:top w:val="nil"/>
              <w:left w:val="nil"/>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rsidR="00B76B7E" w:rsidRPr="00147005" w:rsidRDefault="00B76B7E" w:rsidP="00B76B7E">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rsidR="00B76B7E" w:rsidRPr="00147005" w:rsidRDefault="00F415A7"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Median</w:t>
            </w:r>
          </w:p>
        </w:tc>
        <w:tc>
          <w:tcPr>
            <w:tcW w:w="412" w:type="pct"/>
            <w:tcBorders>
              <w:top w:val="nil"/>
              <w:left w:val="nil"/>
              <w:bottom w:val="nil"/>
              <w:right w:val="nil"/>
            </w:tcBorders>
            <w:shd w:val="clear" w:color="000000" w:fill="0093D0"/>
            <w:vAlign w:val="center"/>
            <w:hideMark/>
          </w:tcPr>
          <w:p w:rsidR="00B76B7E" w:rsidRPr="00147005" w:rsidRDefault="00F415A7"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Mean</w:t>
            </w:r>
          </w:p>
        </w:tc>
        <w:tc>
          <w:tcPr>
            <w:tcW w:w="414" w:type="pct"/>
            <w:tcBorders>
              <w:top w:val="nil"/>
              <w:left w:val="nil"/>
              <w:bottom w:val="nil"/>
              <w:right w:val="single" w:sz="4" w:space="0" w:color="C5D9F1"/>
            </w:tcBorders>
            <w:shd w:val="clear" w:color="000000" w:fill="0093D0"/>
            <w:vAlign w:val="center"/>
            <w:hideMark/>
          </w:tcPr>
          <w:p w:rsidR="00B76B7E" w:rsidRPr="00147005" w:rsidRDefault="00F415A7" w:rsidP="00B76B7E">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Mode</w:t>
            </w:r>
            <w:r w:rsidRPr="00147005">
              <w:rPr>
                <w:rFonts w:eastAsia="Times New Roman"/>
                <w:b/>
                <w:bCs/>
                <w:color w:val="FFFFFF"/>
                <w:sz w:val="16"/>
                <w:szCs w:val="20"/>
                <w:lang w:eastAsia="en-AU"/>
              </w:rPr>
              <w:t xml:space="preserve"> </w:t>
            </w:r>
          </w:p>
        </w:tc>
        <w:tc>
          <w:tcPr>
            <w:tcW w:w="468" w:type="pct"/>
            <w:vMerge/>
            <w:tcBorders>
              <w:left w:val="single" w:sz="4" w:space="0" w:color="C5D9F1"/>
              <w:bottom w:val="nil"/>
              <w:right w:val="nil"/>
            </w:tcBorders>
            <w:vAlign w:val="center"/>
            <w:hideMark/>
          </w:tcPr>
          <w:p w:rsidR="00B76B7E" w:rsidRPr="00147005" w:rsidRDefault="00B76B7E" w:rsidP="00B76B7E">
            <w:pPr>
              <w:spacing w:after="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rsidR="00B76B7E" w:rsidRPr="00147005" w:rsidRDefault="00B76B7E" w:rsidP="00B76B7E">
            <w:pPr>
              <w:spacing w:after="0" w:line="240" w:lineRule="auto"/>
              <w:rPr>
                <w:rFonts w:eastAsia="Times New Roman"/>
                <w:b/>
                <w:bCs/>
                <w:color w:val="FFFFFF"/>
                <w:sz w:val="16"/>
                <w:szCs w:val="20"/>
                <w:lang w:eastAsia="en-AU"/>
              </w:rPr>
            </w:pPr>
          </w:p>
        </w:tc>
        <w:tc>
          <w:tcPr>
            <w:tcW w:w="541" w:type="pct"/>
            <w:vMerge/>
            <w:tcBorders>
              <w:left w:val="nil"/>
              <w:bottom w:val="nil"/>
              <w:right w:val="nil"/>
            </w:tcBorders>
            <w:vAlign w:val="center"/>
          </w:tcPr>
          <w:p w:rsidR="00B76B7E" w:rsidRPr="00147005" w:rsidRDefault="00B76B7E" w:rsidP="00B76B7E">
            <w:pPr>
              <w:spacing w:after="0" w:line="240" w:lineRule="auto"/>
              <w:rPr>
                <w:rFonts w:eastAsia="Times New Roman"/>
                <w:b/>
                <w:bCs/>
                <w:color w:val="FFFFFF"/>
                <w:sz w:val="16"/>
                <w:szCs w:val="20"/>
                <w:lang w:eastAsia="en-AU"/>
              </w:rPr>
            </w:pPr>
          </w:p>
        </w:tc>
      </w:tr>
      <w:tr w:rsidR="00B05314" w:rsidRPr="00147005" w:rsidTr="0068175B">
        <w:trPr>
          <w:trHeight w:val="555"/>
        </w:trPr>
        <w:tc>
          <w:tcPr>
            <w:tcW w:w="482" w:type="pct"/>
            <w:tcBorders>
              <w:top w:val="nil"/>
              <w:left w:val="nil"/>
              <w:bottom w:val="single" w:sz="4" w:space="0" w:color="0093D0"/>
              <w:right w:val="nil"/>
            </w:tcBorders>
            <w:shd w:val="clear" w:color="auto" w:fill="auto"/>
            <w:noWrap/>
            <w:vAlign w:val="center"/>
            <w:hideMark/>
          </w:tcPr>
          <w:p w:rsidR="00B05314" w:rsidRDefault="00B05314" w:rsidP="00B05314">
            <w:pPr>
              <w:spacing w:after="0" w:line="240" w:lineRule="auto"/>
              <w:jc w:val="center"/>
              <w:rPr>
                <w:b/>
                <w:bCs/>
                <w:color w:val="000000"/>
                <w:sz w:val="16"/>
                <w:szCs w:val="16"/>
                <w:lang w:eastAsia="en-AU"/>
              </w:rPr>
            </w:pPr>
            <w:r>
              <w:rPr>
                <w:b/>
                <w:bCs/>
                <w:color w:val="000000"/>
                <w:sz w:val="16"/>
                <w:szCs w:val="16"/>
              </w:rPr>
              <w:t>249</w:t>
            </w:r>
          </w:p>
        </w:tc>
        <w:tc>
          <w:tcPr>
            <w:tcW w:w="503" w:type="pct"/>
            <w:tcBorders>
              <w:top w:val="nil"/>
              <w:left w:val="nil"/>
              <w:bottom w:val="single" w:sz="4" w:space="0" w:color="0093D0"/>
              <w:right w:val="nil"/>
            </w:tcBorders>
            <w:shd w:val="clear" w:color="auto" w:fill="auto"/>
            <w:noWrap/>
            <w:vAlign w:val="center"/>
            <w:hideMark/>
          </w:tcPr>
          <w:p w:rsidR="00B05314" w:rsidRDefault="00B05314" w:rsidP="00B05314">
            <w:pPr>
              <w:spacing w:after="0" w:line="240" w:lineRule="auto"/>
              <w:jc w:val="center"/>
              <w:rPr>
                <w:b/>
                <w:bCs/>
                <w:color w:val="000000"/>
                <w:sz w:val="16"/>
                <w:szCs w:val="16"/>
              </w:rPr>
            </w:pPr>
            <w:r>
              <w:rPr>
                <w:b/>
                <w:bCs/>
                <w:color w:val="000000"/>
                <w:sz w:val="16"/>
                <w:szCs w:val="16"/>
              </w:rPr>
              <w:t>249</w:t>
            </w:r>
          </w:p>
        </w:tc>
        <w:tc>
          <w:tcPr>
            <w:tcW w:w="478" w:type="pct"/>
            <w:tcBorders>
              <w:top w:val="nil"/>
              <w:left w:val="nil"/>
              <w:bottom w:val="single" w:sz="4" w:space="0" w:color="0093D0"/>
              <w:right w:val="nil"/>
            </w:tcBorders>
            <w:shd w:val="clear" w:color="auto" w:fill="auto"/>
            <w:noWrap/>
            <w:vAlign w:val="center"/>
            <w:hideMark/>
          </w:tcPr>
          <w:p w:rsidR="00B05314" w:rsidRDefault="00B05314" w:rsidP="00B05314">
            <w:pPr>
              <w:spacing w:after="0" w:line="240" w:lineRule="auto"/>
              <w:jc w:val="center"/>
              <w:rPr>
                <w:b/>
                <w:bCs/>
                <w:color w:val="000000"/>
                <w:sz w:val="16"/>
                <w:szCs w:val="16"/>
              </w:rPr>
            </w:pPr>
            <w:r>
              <w:rPr>
                <w:b/>
                <w:bCs/>
                <w:color w:val="000000"/>
                <w:sz w:val="16"/>
                <w:szCs w:val="16"/>
              </w:rPr>
              <w:t>262</w:t>
            </w:r>
          </w:p>
        </w:tc>
        <w:tc>
          <w:tcPr>
            <w:tcW w:w="411" w:type="pct"/>
            <w:tcBorders>
              <w:top w:val="nil"/>
              <w:left w:val="nil"/>
              <w:bottom w:val="single" w:sz="4" w:space="0" w:color="0093D0"/>
              <w:right w:val="nil"/>
            </w:tcBorders>
            <w:shd w:val="clear" w:color="auto" w:fill="auto"/>
            <w:noWrap/>
            <w:vAlign w:val="center"/>
            <w:hideMark/>
          </w:tcPr>
          <w:p w:rsidR="00B05314" w:rsidRDefault="00B05314" w:rsidP="00B05314">
            <w:pPr>
              <w:spacing w:after="0" w:line="240" w:lineRule="auto"/>
              <w:jc w:val="center"/>
              <w:rPr>
                <w:b/>
                <w:bCs/>
                <w:color w:val="000000"/>
                <w:sz w:val="16"/>
                <w:szCs w:val="16"/>
              </w:rPr>
            </w:pPr>
            <w:r>
              <w:rPr>
                <w:b/>
                <w:bCs/>
                <w:color w:val="000000"/>
                <w:sz w:val="16"/>
                <w:szCs w:val="16"/>
              </w:rPr>
              <w:t>240</w:t>
            </w:r>
          </w:p>
        </w:tc>
        <w:tc>
          <w:tcPr>
            <w:tcW w:w="411" w:type="pct"/>
            <w:tcBorders>
              <w:top w:val="nil"/>
              <w:left w:val="nil"/>
              <w:bottom w:val="single" w:sz="4" w:space="0" w:color="0093D0"/>
              <w:right w:val="nil"/>
            </w:tcBorders>
            <w:shd w:val="clear" w:color="auto" w:fill="auto"/>
            <w:noWrap/>
            <w:vAlign w:val="center"/>
            <w:hideMark/>
          </w:tcPr>
          <w:p w:rsidR="00B05314" w:rsidRDefault="00B05314" w:rsidP="00B05314">
            <w:pPr>
              <w:spacing w:after="0" w:line="240" w:lineRule="auto"/>
              <w:jc w:val="center"/>
              <w:rPr>
                <w:b/>
                <w:bCs/>
                <w:color w:val="000000"/>
                <w:sz w:val="16"/>
                <w:szCs w:val="16"/>
              </w:rPr>
            </w:pPr>
            <w:r>
              <w:rPr>
                <w:b/>
                <w:bCs/>
                <w:color w:val="000000"/>
                <w:sz w:val="16"/>
                <w:szCs w:val="16"/>
              </w:rPr>
              <w:t>250</w:t>
            </w:r>
          </w:p>
        </w:tc>
        <w:tc>
          <w:tcPr>
            <w:tcW w:w="411" w:type="pct"/>
            <w:tcBorders>
              <w:top w:val="nil"/>
              <w:left w:val="nil"/>
              <w:bottom w:val="single" w:sz="4" w:space="0" w:color="0093D0"/>
              <w:right w:val="nil"/>
            </w:tcBorders>
            <w:shd w:val="clear" w:color="auto" w:fill="auto"/>
            <w:noWrap/>
            <w:vAlign w:val="center"/>
            <w:hideMark/>
          </w:tcPr>
          <w:p w:rsidR="00B05314" w:rsidRDefault="00B05314" w:rsidP="00B05314">
            <w:pPr>
              <w:spacing w:after="0" w:line="240" w:lineRule="auto"/>
              <w:jc w:val="center"/>
              <w:rPr>
                <w:b/>
                <w:bCs/>
                <w:color w:val="000000"/>
                <w:sz w:val="16"/>
                <w:szCs w:val="16"/>
              </w:rPr>
            </w:pPr>
            <w:r>
              <w:rPr>
                <w:b/>
                <w:bCs/>
                <w:color w:val="000000"/>
                <w:sz w:val="16"/>
                <w:szCs w:val="16"/>
              </w:rPr>
              <w:t>250</w:t>
            </w:r>
          </w:p>
        </w:tc>
        <w:tc>
          <w:tcPr>
            <w:tcW w:w="412" w:type="pct"/>
            <w:tcBorders>
              <w:top w:val="nil"/>
              <w:left w:val="nil"/>
              <w:bottom w:val="single" w:sz="4" w:space="0" w:color="0093D0"/>
              <w:right w:val="nil"/>
            </w:tcBorders>
            <w:shd w:val="clear" w:color="auto" w:fill="auto"/>
            <w:noWrap/>
            <w:vAlign w:val="center"/>
            <w:hideMark/>
          </w:tcPr>
          <w:p w:rsidR="00B05314" w:rsidRDefault="00B05314" w:rsidP="00B05314">
            <w:pPr>
              <w:spacing w:after="0" w:line="240" w:lineRule="auto"/>
              <w:jc w:val="center"/>
              <w:rPr>
                <w:b/>
                <w:bCs/>
                <w:color w:val="000000"/>
                <w:sz w:val="16"/>
                <w:szCs w:val="16"/>
              </w:rPr>
            </w:pPr>
            <w:r>
              <w:rPr>
                <w:b/>
                <w:bCs/>
                <w:color w:val="000000"/>
                <w:sz w:val="16"/>
                <w:szCs w:val="16"/>
              </w:rPr>
              <w:t>241</w:t>
            </w:r>
          </w:p>
        </w:tc>
        <w:tc>
          <w:tcPr>
            <w:tcW w:w="414" w:type="pct"/>
            <w:tcBorders>
              <w:top w:val="nil"/>
              <w:left w:val="nil"/>
              <w:bottom w:val="single" w:sz="4" w:space="0" w:color="0093D0"/>
              <w:right w:val="nil"/>
            </w:tcBorders>
            <w:shd w:val="clear" w:color="auto" w:fill="auto"/>
            <w:noWrap/>
            <w:vAlign w:val="center"/>
            <w:hideMark/>
          </w:tcPr>
          <w:p w:rsidR="00B05314" w:rsidRDefault="00B05314" w:rsidP="00B05314">
            <w:pPr>
              <w:spacing w:after="0" w:line="240" w:lineRule="auto"/>
              <w:jc w:val="center"/>
              <w:rPr>
                <w:b/>
                <w:bCs/>
                <w:color w:val="000000"/>
                <w:sz w:val="16"/>
                <w:szCs w:val="16"/>
              </w:rPr>
            </w:pPr>
            <w:r>
              <w:rPr>
                <w:b/>
                <w:bCs/>
                <w:color w:val="000000"/>
                <w:sz w:val="16"/>
                <w:szCs w:val="16"/>
              </w:rPr>
              <w:t>250</w:t>
            </w:r>
          </w:p>
        </w:tc>
        <w:tc>
          <w:tcPr>
            <w:tcW w:w="468" w:type="pct"/>
            <w:tcBorders>
              <w:top w:val="nil"/>
              <w:left w:val="nil"/>
              <w:bottom w:val="single" w:sz="4" w:space="0" w:color="0093D0"/>
              <w:right w:val="nil"/>
            </w:tcBorders>
            <w:shd w:val="clear" w:color="auto" w:fill="auto"/>
            <w:noWrap/>
            <w:vAlign w:val="center"/>
            <w:hideMark/>
          </w:tcPr>
          <w:p w:rsidR="00B05314" w:rsidRDefault="00B05314" w:rsidP="00B05314">
            <w:pPr>
              <w:spacing w:after="0" w:line="240" w:lineRule="auto"/>
              <w:jc w:val="center"/>
              <w:rPr>
                <w:b/>
                <w:bCs/>
                <w:color w:val="000000"/>
                <w:sz w:val="16"/>
                <w:szCs w:val="16"/>
              </w:rPr>
            </w:pPr>
            <w:r>
              <w:rPr>
                <w:b/>
                <w:bCs/>
                <w:color w:val="000000"/>
                <w:sz w:val="16"/>
                <w:szCs w:val="16"/>
              </w:rPr>
              <w:t>3,241</w:t>
            </w:r>
          </w:p>
        </w:tc>
        <w:tc>
          <w:tcPr>
            <w:tcW w:w="469" w:type="pct"/>
            <w:tcBorders>
              <w:top w:val="nil"/>
              <w:left w:val="nil"/>
              <w:bottom w:val="single" w:sz="4" w:space="0" w:color="0093D0"/>
              <w:right w:val="nil"/>
            </w:tcBorders>
            <w:shd w:val="clear" w:color="auto" w:fill="auto"/>
            <w:noWrap/>
            <w:vAlign w:val="center"/>
            <w:hideMark/>
          </w:tcPr>
          <w:p w:rsidR="00B05314" w:rsidRDefault="00B05314" w:rsidP="00B05314">
            <w:pPr>
              <w:spacing w:after="0" w:line="240" w:lineRule="auto"/>
              <w:jc w:val="center"/>
              <w:rPr>
                <w:b/>
                <w:bCs/>
                <w:color w:val="000000"/>
                <w:sz w:val="16"/>
                <w:szCs w:val="16"/>
              </w:rPr>
            </w:pPr>
            <w:r>
              <w:rPr>
                <w:b/>
                <w:bCs/>
                <w:color w:val="000000"/>
                <w:sz w:val="16"/>
                <w:szCs w:val="16"/>
              </w:rPr>
              <w:t>52</w:t>
            </w:r>
          </w:p>
        </w:tc>
        <w:tc>
          <w:tcPr>
            <w:tcW w:w="541" w:type="pct"/>
            <w:tcBorders>
              <w:top w:val="nil"/>
              <w:left w:val="nil"/>
              <w:bottom w:val="single" w:sz="4" w:space="0" w:color="0093D0"/>
              <w:right w:val="nil"/>
            </w:tcBorders>
            <w:vAlign w:val="center"/>
          </w:tcPr>
          <w:p w:rsidR="00B05314" w:rsidRPr="00147005" w:rsidRDefault="00B05314" w:rsidP="00B05314">
            <w:pPr>
              <w:spacing w:after="0" w:line="240" w:lineRule="auto"/>
              <w:jc w:val="center"/>
              <w:rPr>
                <w:rFonts w:eastAsia="Times New Roman"/>
                <w:b/>
                <w:bCs/>
                <w:color w:val="000000"/>
                <w:sz w:val="16"/>
                <w:szCs w:val="20"/>
                <w:lang w:eastAsia="en-AU"/>
              </w:rPr>
            </w:pPr>
            <w:r w:rsidRPr="00B05314">
              <w:rPr>
                <w:rFonts w:eastAsia="Times New Roman"/>
                <w:b/>
                <w:bCs/>
                <w:color w:val="000000"/>
                <w:sz w:val="16"/>
                <w:szCs w:val="20"/>
                <w:lang w:eastAsia="en-AU"/>
              </w:rPr>
              <w:t>250 – 260</w:t>
            </w:r>
          </w:p>
        </w:tc>
      </w:tr>
    </w:tbl>
    <w:p w:rsidR="00EE00DE" w:rsidRPr="003A4303" w:rsidRDefault="00EE00DE" w:rsidP="00EE00DE">
      <w:pPr>
        <w:pStyle w:val="MJAnormal"/>
      </w:pPr>
    </w:p>
    <w:p w:rsidR="00EE00DE" w:rsidRDefault="00EE00DE" w:rsidP="00EE00DE">
      <w:pPr>
        <w:pStyle w:val="Caption"/>
      </w:pPr>
      <w:bookmarkStart w:id="35" w:name="_Toc426386634"/>
      <w:r>
        <w:t xml:space="preserve">Figure </w:t>
      </w:r>
      <w:r w:rsidR="00C23339">
        <w:fldChar w:fldCharType="begin"/>
      </w:r>
      <w:r w:rsidR="00134558">
        <w:instrText xml:space="preserve"> SEQ Figure \* ARABIC </w:instrText>
      </w:r>
      <w:r w:rsidR="00C23339">
        <w:fldChar w:fldCharType="separate"/>
      </w:r>
      <w:r w:rsidR="00E00DC7">
        <w:rPr>
          <w:noProof/>
        </w:rPr>
        <w:t>16</w:t>
      </w:r>
      <w:r w:rsidR="00C23339">
        <w:rPr>
          <w:noProof/>
        </w:rPr>
        <w:fldChar w:fldCharType="end"/>
      </w:r>
      <w:r>
        <w:t>: Entitlement market price range by volume</w:t>
      </w:r>
      <w:bookmarkEnd w:id="35"/>
    </w:p>
    <w:p w:rsidR="00B05314" w:rsidRPr="00B05314" w:rsidRDefault="00B05314" w:rsidP="00B05314">
      <w:r>
        <w:rPr>
          <w:noProof/>
          <w:lang w:eastAsia="en-AU"/>
        </w:rPr>
        <w:drawing>
          <wp:inline distT="0" distB="0" distL="0" distR="0">
            <wp:extent cx="5760000" cy="207310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073101"/>
                    </a:xfrm>
                    <a:prstGeom prst="rect">
                      <a:avLst/>
                    </a:prstGeom>
                    <a:noFill/>
                  </pic:spPr>
                </pic:pic>
              </a:graphicData>
            </a:graphic>
          </wp:inline>
        </w:drawing>
      </w:r>
    </w:p>
    <w:p w:rsidR="00BF578C" w:rsidRDefault="00BF578C" w:rsidP="002D50B8">
      <w:pPr>
        <w:pStyle w:val="MJAsource"/>
        <w:rPr>
          <w:b/>
        </w:rPr>
      </w:pPr>
    </w:p>
    <w:p w:rsidR="002D50B8" w:rsidRDefault="002D50B8" w:rsidP="002D50B8">
      <w:pPr>
        <w:pStyle w:val="MJAsource"/>
        <w:rPr>
          <w:sz w:val="16"/>
        </w:rPr>
      </w:pPr>
      <w:r w:rsidRPr="00074B0E">
        <w:rPr>
          <w:b/>
          <w:sz w:val="16"/>
          <w:szCs w:val="16"/>
        </w:rPr>
        <w:t xml:space="preserve">Data Sources: </w:t>
      </w:r>
      <w:r w:rsidRPr="00074B0E">
        <w:rPr>
          <w:sz w:val="16"/>
          <w:szCs w:val="16"/>
        </w:rPr>
        <w:t>VIC</w:t>
      </w:r>
      <w:r w:rsidRPr="00564276">
        <w:rPr>
          <w:sz w:val="16"/>
        </w:rPr>
        <w:t xml:space="preserve"> Water Register (waterregister.vic.gov.au/water-trading/water-share-trading), National Water Exchange </w:t>
      </w:r>
      <w:r w:rsidR="000A37A8" w:rsidRPr="00F17E80">
        <w:rPr>
          <w:sz w:val="16"/>
        </w:rPr>
        <w:t>(</w:t>
      </w:r>
      <w:hyperlink r:id="rId54" w:history="1">
        <w:r w:rsidR="000A37A8" w:rsidRPr="00631B5E">
          <w:rPr>
            <w:rStyle w:val="Hyperlink"/>
            <w:sz w:val="16"/>
          </w:rPr>
          <w:t>www.waterexchange.com.au</w:t>
        </w:r>
      </w:hyperlink>
      <w:r w:rsidR="000A37A8" w:rsidRPr="00F17E80">
        <w:rPr>
          <w:sz w:val="16"/>
        </w:rPr>
        <w:t xml:space="preserve">), </w:t>
      </w:r>
      <w:proofErr w:type="spellStart"/>
      <w:r w:rsidR="000A37A8" w:rsidRPr="00F17E80">
        <w:rPr>
          <w:sz w:val="16"/>
        </w:rPr>
        <w:t>Waterfind</w:t>
      </w:r>
      <w:proofErr w:type="spellEnd"/>
      <w:r w:rsidR="000A37A8" w:rsidRPr="00F17E80">
        <w:rPr>
          <w:sz w:val="16"/>
        </w:rPr>
        <w:t xml:space="preserve"> (</w:t>
      </w:r>
      <w:hyperlink r:id="rId55" w:history="1">
        <w:r w:rsidR="000A37A8" w:rsidRPr="00F17E80">
          <w:rPr>
            <w:rStyle w:val="Hyperlink"/>
            <w:sz w:val="16"/>
          </w:rPr>
          <w:t>www.waterfind.com.au</w:t>
        </w:r>
      </w:hyperlink>
      <w:r w:rsidR="000A37A8" w:rsidRPr="00F17E80">
        <w:rPr>
          <w:sz w:val="16"/>
        </w:rPr>
        <w:t>)</w:t>
      </w:r>
      <w:r w:rsidR="000A37A8">
        <w:rPr>
          <w:sz w:val="16"/>
        </w:rPr>
        <w:t>, H2OX (</w:t>
      </w:r>
      <w:hyperlink r:id="rId56" w:history="1">
        <w:r w:rsidR="000A37A8" w:rsidRPr="00631B5E">
          <w:rPr>
            <w:rStyle w:val="Hyperlink"/>
            <w:sz w:val="16"/>
          </w:rPr>
          <w:t>www.h2ox.com</w:t>
        </w:r>
      </w:hyperlink>
      <w:r w:rsidR="000A37A8">
        <w:rPr>
          <w:sz w:val="16"/>
        </w:rPr>
        <w:t>)</w:t>
      </w:r>
    </w:p>
    <w:p w:rsidR="00EE00DE" w:rsidRDefault="00EE00DE" w:rsidP="00EE00DE">
      <w:pPr>
        <w:rPr>
          <w:sz w:val="18"/>
        </w:rPr>
      </w:pPr>
      <w:r>
        <w:rPr>
          <w:sz w:val="18"/>
        </w:rPr>
        <w:br w:type="page"/>
      </w:r>
    </w:p>
    <w:p w:rsidR="00EE00DE" w:rsidRDefault="00EE00DE" w:rsidP="00EE00DE">
      <w:pPr>
        <w:pStyle w:val="MJAheading2"/>
      </w:pPr>
      <w:bookmarkStart w:id="36" w:name="_Toc441834750"/>
      <w:r>
        <w:t>Campaspe: High Reliability</w:t>
      </w:r>
      <w:bookmarkEnd w:id="36"/>
    </w:p>
    <w:p w:rsidR="00EE00DE" w:rsidRDefault="00EE00DE" w:rsidP="00EE00DE">
      <w:pPr>
        <w:pStyle w:val="Caption"/>
      </w:pPr>
      <w:bookmarkStart w:id="37" w:name="_Toc426386643"/>
      <w:r>
        <w:t xml:space="preserve">Figure </w:t>
      </w:r>
      <w:r w:rsidR="00C23339">
        <w:fldChar w:fldCharType="begin"/>
      </w:r>
      <w:r w:rsidR="00134558">
        <w:instrText xml:space="preserve"> SEQ Figure \* ARABIC </w:instrText>
      </w:r>
      <w:r w:rsidR="00C23339">
        <w:fldChar w:fldCharType="separate"/>
      </w:r>
      <w:r w:rsidR="00E00DC7">
        <w:rPr>
          <w:noProof/>
        </w:rPr>
        <w:t>17</w:t>
      </w:r>
      <w:r w:rsidR="00C23339">
        <w:rPr>
          <w:noProof/>
        </w:rPr>
        <w:fldChar w:fldCharType="end"/>
      </w:r>
      <w:r>
        <w:t>: Entitlement market prices and volumes</w:t>
      </w:r>
      <w:bookmarkEnd w:id="37"/>
    </w:p>
    <w:p w:rsidR="00CE486C" w:rsidRPr="00CE486C" w:rsidRDefault="00CE486C" w:rsidP="00CE486C">
      <w:pPr>
        <w:pStyle w:val="MJAnormal"/>
      </w:pPr>
      <w:r>
        <w:rPr>
          <w:noProof/>
          <w:lang w:eastAsia="en-AU"/>
        </w:rPr>
        <w:drawing>
          <wp:inline distT="0" distB="0" distL="0" distR="0">
            <wp:extent cx="5760000" cy="279056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EE00DE" w:rsidRPr="003A4303" w:rsidRDefault="00EE00DE" w:rsidP="00CE486C">
      <w:pPr>
        <w:pStyle w:val="MJAnormal"/>
      </w:pPr>
    </w:p>
    <w:p w:rsidR="00EE00DE" w:rsidRDefault="00EE00DE" w:rsidP="00EE00DE">
      <w:pPr>
        <w:pStyle w:val="Caption"/>
      </w:pPr>
      <w:bookmarkStart w:id="38" w:name="_Toc426386585"/>
      <w:r>
        <w:t xml:space="preserve">Table </w:t>
      </w:r>
      <w:r w:rsidR="00C23339">
        <w:fldChar w:fldCharType="begin"/>
      </w:r>
      <w:r w:rsidR="00134558">
        <w:instrText xml:space="preserve"> SEQ Table \* ARABIC </w:instrText>
      </w:r>
      <w:r w:rsidR="00C23339">
        <w:fldChar w:fldCharType="separate"/>
      </w:r>
      <w:r w:rsidR="00E00DC7">
        <w:rPr>
          <w:noProof/>
        </w:rPr>
        <w:t>9</w:t>
      </w:r>
      <w:r w:rsidR="00C23339">
        <w:rPr>
          <w:noProof/>
        </w:rPr>
        <w:fldChar w:fldCharType="end"/>
      </w:r>
      <w:r>
        <w:t>: Entitlement market prices and volumes</w:t>
      </w:r>
      <w:bookmarkEnd w:id="38"/>
    </w:p>
    <w:tbl>
      <w:tblPr>
        <w:tblW w:w="0" w:type="auto"/>
        <w:tblLayout w:type="fixed"/>
        <w:tblCellMar>
          <w:left w:w="28" w:type="dxa"/>
          <w:right w:w="28" w:type="dxa"/>
        </w:tblCellMar>
        <w:tblLook w:val="04A0"/>
      </w:tblPr>
      <w:tblGrid>
        <w:gridCol w:w="875"/>
        <w:gridCol w:w="913"/>
        <w:gridCol w:w="867"/>
        <w:gridCol w:w="745"/>
        <w:gridCol w:w="745"/>
        <w:gridCol w:w="746"/>
        <w:gridCol w:w="746"/>
        <w:gridCol w:w="749"/>
        <w:gridCol w:w="851"/>
        <w:gridCol w:w="851"/>
        <w:gridCol w:w="983"/>
      </w:tblGrid>
      <w:tr w:rsidR="00E873CF" w:rsidRPr="00147005" w:rsidTr="00EA394F">
        <w:trPr>
          <w:trHeight w:val="525"/>
        </w:trPr>
        <w:tc>
          <w:tcPr>
            <w:tcW w:w="2655" w:type="dxa"/>
            <w:gridSpan w:val="3"/>
            <w:tcBorders>
              <w:top w:val="nil"/>
              <w:left w:val="nil"/>
              <w:bottom w:val="nil"/>
              <w:right w:val="nil"/>
            </w:tcBorders>
            <w:shd w:val="clear" w:color="000000" w:fill="0093D0"/>
            <w:noWrap/>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3731" w:type="dxa"/>
            <w:gridSpan w:val="5"/>
            <w:tcBorders>
              <w:top w:val="nil"/>
              <w:left w:val="single" w:sz="4" w:space="0" w:color="C5D9F1"/>
              <w:bottom w:val="nil"/>
              <w:right w:val="single" w:sz="4" w:space="0" w:color="C5D9F1"/>
            </w:tcBorders>
            <w:shd w:val="clear" w:color="000000" w:fill="0093D0"/>
            <w:noWrap/>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E873CF" w:rsidRPr="00147005">
              <w:rPr>
                <w:rFonts w:eastAsia="Times New Roman"/>
                <w:b/>
                <w:bCs/>
                <w:color w:val="FFFFFF"/>
                <w:sz w:val="16"/>
                <w:szCs w:val="20"/>
                <w:lang w:eastAsia="en-AU"/>
              </w:rPr>
              <w:t xml:space="preserve"> 2015 Quarter (in $/ML)</w:t>
            </w:r>
          </w:p>
        </w:tc>
        <w:tc>
          <w:tcPr>
            <w:tcW w:w="851" w:type="dxa"/>
            <w:vMerge w:val="restart"/>
            <w:tcBorders>
              <w:top w:val="nil"/>
              <w:left w:val="single" w:sz="4" w:space="0" w:color="C5D9F1"/>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Volume</w:t>
            </w:r>
            <w:r w:rsidR="00E873CF">
              <w:rPr>
                <w:rFonts w:eastAsia="Times New Roman"/>
                <w:b/>
                <w:bCs/>
                <w:color w:val="FFFFFF"/>
                <w:sz w:val="16"/>
                <w:szCs w:val="20"/>
                <w:lang w:eastAsia="en-AU"/>
              </w:rPr>
              <w:t xml:space="preserve"> (ML)</w:t>
            </w:r>
          </w:p>
        </w:tc>
        <w:tc>
          <w:tcPr>
            <w:tcW w:w="851" w:type="dxa"/>
            <w:vMerge w:val="restart"/>
            <w:tcBorders>
              <w:top w:val="nil"/>
              <w:left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 of trades</w:t>
            </w:r>
          </w:p>
        </w:tc>
        <w:tc>
          <w:tcPr>
            <w:tcW w:w="983" w:type="dxa"/>
            <w:vMerge w:val="restart"/>
            <w:tcBorders>
              <w:top w:val="nil"/>
              <w:left w:val="nil"/>
              <w:right w:val="nil"/>
            </w:tcBorders>
            <w:shd w:val="clear" w:color="000000" w:fill="0093D0"/>
            <w:vAlign w:val="center"/>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E873CF" w:rsidRPr="00147005" w:rsidTr="00EA394F">
        <w:trPr>
          <w:trHeight w:val="552"/>
        </w:trPr>
        <w:tc>
          <w:tcPr>
            <w:tcW w:w="875"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913" w:type="dxa"/>
            <w:tcBorders>
              <w:top w:val="nil"/>
              <w:left w:val="nil"/>
              <w:bottom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w:t>
            </w:r>
          </w:p>
        </w:tc>
        <w:tc>
          <w:tcPr>
            <w:tcW w:w="867"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745" w:type="dxa"/>
            <w:tcBorders>
              <w:top w:val="nil"/>
              <w:left w:val="single" w:sz="4" w:space="0" w:color="C5D9F1"/>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745"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746"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746"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749" w:type="dxa"/>
            <w:tcBorders>
              <w:top w:val="nil"/>
              <w:left w:val="nil"/>
              <w:bottom w:val="nil"/>
              <w:right w:val="single" w:sz="4" w:space="0" w:color="C5D9F1"/>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851" w:type="dxa"/>
            <w:vMerge/>
            <w:tcBorders>
              <w:left w:val="single" w:sz="4" w:space="0" w:color="C5D9F1"/>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851" w:type="dxa"/>
            <w:vMerge/>
            <w:tcBorders>
              <w:left w:val="nil"/>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983" w:type="dxa"/>
            <w:vMerge/>
            <w:tcBorders>
              <w:left w:val="nil"/>
              <w:bottom w:val="nil"/>
              <w:right w:val="nil"/>
            </w:tcBorders>
          </w:tcPr>
          <w:p w:rsidR="00E873CF" w:rsidRPr="00147005" w:rsidRDefault="00E873CF" w:rsidP="00E873CF">
            <w:pPr>
              <w:spacing w:after="0" w:line="240" w:lineRule="auto"/>
              <w:rPr>
                <w:rFonts w:eastAsia="Times New Roman"/>
                <w:b/>
                <w:bCs/>
                <w:color w:val="FFFFFF"/>
                <w:sz w:val="16"/>
                <w:szCs w:val="20"/>
                <w:lang w:eastAsia="en-AU"/>
              </w:rPr>
            </w:pPr>
          </w:p>
        </w:tc>
      </w:tr>
      <w:tr w:rsidR="008612CA" w:rsidRPr="00147005" w:rsidTr="00EA394F">
        <w:trPr>
          <w:trHeight w:val="555"/>
        </w:trPr>
        <w:tc>
          <w:tcPr>
            <w:tcW w:w="875" w:type="dxa"/>
            <w:tcBorders>
              <w:top w:val="nil"/>
              <w:left w:val="nil"/>
              <w:bottom w:val="single" w:sz="4" w:space="0" w:color="0093D0"/>
              <w:right w:val="nil"/>
            </w:tcBorders>
            <w:shd w:val="clear" w:color="auto" w:fill="auto"/>
            <w:noWrap/>
            <w:vAlign w:val="center"/>
            <w:hideMark/>
          </w:tcPr>
          <w:p w:rsidR="008612CA" w:rsidRDefault="008612CA" w:rsidP="008612CA">
            <w:pPr>
              <w:spacing w:after="0" w:line="240" w:lineRule="auto"/>
              <w:jc w:val="center"/>
              <w:rPr>
                <w:b/>
                <w:bCs/>
                <w:color w:val="000000"/>
                <w:sz w:val="16"/>
                <w:szCs w:val="16"/>
                <w:lang w:eastAsia="en-AU"/>
              </w:rPr>
            </w:pPr>
            <w:r>
              <w:rPr>
                <w:b/>
                <w:bCs/>
                <w:color w:val="000000"/>
                <w:sz w:val="16"/>
                <w:szCs w:val="16"/>
              </w:rPr>
              <w:t>1,200</w:t>
            </w:r>
          </w:p>
        </w:tc>
        <w:tc>
          <w:tcPr>
            <w:tcW w:w="913" w:type="dxa"/>
            <w:tcBorders>
              <w:top w:val="nil"/>
              <w:left w:val="nil"/>
              <w:bottom w:val="single" w:sz="4" w:space="0" w:color="0093D0"/>
              <w:right w:val="nil"/>
            </w:tcBorders>
            <w:shd w:val="clear" w:color="auto" w:fill="auto"/>
            <w:noWrap/>
            <w:vAlign w:val="center"/>
            <w:hideMark/>
          </w:tcPr>
          <w:p w:rsidR="008612CA" w:rsidRDefault="008612CA" w:rsidP="008612CA">
            <w:pPr>
              <w:spacing w:after="0" w:line="240" w:lineRule="auto"/>
              <w:jc w:val="center"/>
              <w:rPr>
                <w:b/>
                <w:bCs/>
                <w:color w:val="000000"/>
                <w:sz w:val="16"/>
                <w:szCs w:val="16"/>
              </w:rPr>
            </w:pPr>
            <w:r>
              <w:rPr>
                <w:b/>
                <w:bCs/>
                <w:color w:val="000000"/>
                <w:sz w:val="16"/>
                <w:szCs w:val="16"/>
              </w:rPr>
              <w:t>1,501</w:t>
            </w:r>
          </w:p>
        </w:tc>
        <w:tc>
          <w:tcPr>
            <w:tcW w:w="867" w:type="dxa"/>
            <w:tcBorders>
              <w:top w:val="nil"/>
              <w:left w:val="nil"/>
              <w:bottom w:val="single" w:sz="4" w:space="0" w:color="0093D0"/>
              <w:right w:val="nil"/>
            </w:tcBorders>
            <w:shd w:val="clear" w:color="auto" w:fill="auto"/>
            <w:noWrap/>
            <w:vAlign w:val="center"/>
            <w:hideMark/>
          </w:tcPr>
          <w:p w:rsidR="008612CA" w:rsidRDefault="008612CA" w:rsidP="008612CA">
            <w:pPr>
              <w:spacing w:after="0" w:line="240" w:lineRule="auto"/>
              <w:jc w:val="center"/>
              <w:rPr>
                <w:b/>
                <w:bCs/>
                <w:color w:val="000000"/>
                <w:sz w:val="16"/>
                <w:szCs w:val="16"/>
              </w:rPr>
            </w:pPr>
            <w:r>
              <w:rPr>
                <w:b/>
                <w:bCs/>
                <w:color w:val="000000"/>
                <w:sz w:val="16"/>
                <w:szCs w:val="16"/>
              </w:rPr>
              <w:t>1,601</w:t>
            </w:r>
          </w:p>
        </w:tc>
        <w:tc>
          <w:tcPr>
            <w:tcW w:w="745" w:type="dxa"/>
            <w:tcBorders>
              <w:top w:val="nil"/>
              <w:left w:val="nil"/>
              <w:bottom w:val="single" w:sz="4" w:space="0" w:color="0093D0"/>
              <w:right w:val="nil"/>
            </w:tcBorders>
            <w:shd w:val="clear" w:color="auto" w:fill="auto"/>
            <w:noWrap/>
            <w:vAlign w:val="center"/>
          </w:tcPr>
          <w:p w:rsidR="008612CA" w:rsidRDefault="008612CA" w:rsidP="008612CA">
            <w:pPr>
              <w:spacing w:after="0" w:line="240" w:lineRule="auto"/>
              <w:jc w:val="center"/>
              <w:rPr>
                <w:b/>
                <w:bCs/>
                <w:color w:val="000000"/>
                <w:sz w:val="16"/>
                <w:szCs w:val="16"/>
              </w:rPr>
            </w:pPr>
            <w:r>
              <w:rPr>
                <w:b/>
                <w:bCs/>
                <w:color w:val="000000"/>
                <w:sz w:val="16"/>
                <w:szCs w:val="16"/>
              </w:rPr>
              <w:t>1,200</w:t>
            </w:r>
          </w:p>
        </w:tc>
        <w:tc>
          <w:tcPr>
            <w:tcW w:w="745" w:type="dxa"/>
            <w:tcBorders>
              <w:top w:val="nil"/>
              <w:left w:val="nil"/>
              <w:bottom w:val="single" w:sz="4" w:space="0" w:color="0093D0"/>
              <w:right w:val="nil"/>
            </w:tcBorders>
            <w:shd w:val="clear" w:color="auto" w:fill="auto"/>
            <w:noWrap/>
            <w:vAlign w:val="center"/>
          </w:tcPr>
          <w:p w:rsidR="008612CA" w:rsidRDefault="008612CA" w:rsidP="008612CA">
            <w:pPr>
              <w:spacing w:after="0" w:line="240" w:lineRule="auto"/>
              <w:jc w:val="center"/>
              <w:rPr>
                <w:b/>
                <w:bCs/>
                <w:color w:val="000000"/>
                <w:sz w:val="16"/>
                <w:szCs w:val="16"/>
              </w:rPr>
            </w:pPr>
            <w:r>
              <w:rPr>
                <w:b/>
                <w:bCs/>
                <w:color w:val="000000"/>
                <w:sz w:val="16"/>
                <w:szCs w:val="16"/>
              </w:rPr>
              <w:t>1,563</w:t>
            </w:r>
          </w:p>
        </w:tc>
        <w:tc>
          <w:tcPr>
            <w:tcW w:w="746" w:type="dxa"/>
            <w:tcBorders>
              <w:top w:val="nil"/>
              <w:left w:val="nil"/>
              <w:bottom w:val="single" w:sz="4" w:space="0" w:color="0093D0"/>
              <w:right w:val="nil"/>
            </w:tcBorders>
            <w:shd w:val="clear" w:color="auto" w:fill="auto"/>
            <w:noWrap/>
            <w:vAlign w:val="center"/>
          </w:tcPr>
          <w:p w:rsidR="008612CA" w:rsidRDefault="008612CA" w:rsidP="008612CA">
            <w:pPr>
              <w:spacing w:after="0" w:line="240" w:lineRule="auto"/>
              <w:jc w:val="center"/>
              <w:rPr>
                <w:b/>
                <w:bCs/>
                <w:color w:val="000000"/>
                <w:sz w:val="16"/>
                <w:szCs w:val="16"/>
              </w:rPr>
            </w:pPr>
            <w:r>
              <w:rPr>
                <w:b/>
                <w:bCs/>
                <w:color w:val="000000"/>
                <w:sz w:val="16"/>
                <w:szCs w:val="16"/>
              </w:rPr>
              <w:t>1,350</w:t>
            </w:r>
          </w:p>
        </w:tc>
        <w:tc>
          <w:tcPr>
            <w:tcW w:w="746" w:type="dxa"/>
            <w:tcBorders>
              <w:top w:val="nil"/>
              <w:left w:val="nil"/>
              <w:bottom w:val="single" w:sz="4" w:space="0" w:color="0093D0"/>
              <w:right w:val="nil"/>
            </w:tcBorders>
            <w:shd w:val="clear" w:color="auto" w:fill="auto"/>
            <w:noWrap/>
            <w:vAlign w:val="center"/>
          </w:tcPr>
          <w:p w:rsidR="008612CA" w:rsidRDefault="008612CA" w:rsidP="008612CA">
            <w:pPr>
              <w:spacing w:after="0" w:line="240" w:lineRule="auto"/>
              <w:jc w:val="center"/>
              <w:rPr>
                <w:b/>
                <w:bCs/>
                <w:color w:val="000000"/>
                <w:sz w:val="16"/>
                <w:szCs w:val="16"/>
              </w:rPr>
            </w:pPr>
            <w:r>
              <w:rPr>
                <w:b/>
                <w:bCs/>
                <w:color w:val="000000"/>
                <w:sz w:val="16"/>
                <w:szCs w:val="16"/>
              </w:rPr>
              <w:t>1,413</w:t>
            </w:r>
          </w:p>
        </w:tc>
        <w:tc>
          <w:tcPr>
            <w:tcW w:w="749" w:type="dxa"/>
            <w:tcBorders>
              <w:top w:val="nil"/>
              <w:left w:val="nil"/>
              <w:bottom w:val="single" w:sz="4" w:space="0" w:color="0093D0"/>
              <w:right w:val="nil"/>
            </w:tcBorders>
            <w:shd w:val="clear" w:color="auto" w:fill="auto"/>
            <w:noWrap/>
            <w:vAlign w:val="center"/>
            <w:hideMark/>
          </w:tcPr>
          <w:p w:rsidR="008612CA" w:rsidRDefault="008612CA" w:rsidP="008612CA">
            <w:pPr>
              <w:spacing w:after="0" w:line="240" w:lineRule="auto"/>
              <w:jc w:val="center"/>
              <w:rPr>
                <w:b/>
                <w:bCs/>
                <w:color w:val="000000"/>
                <w:sz w:val="16"/>
                <w:szCs w:val="16"/>
              </w:rPr>
            </w:pPr>
            <w:r>
              <w:rPr>
                <w:b/>
                <w:bCs/>
                <w:color w:val="000000"/>
                <w:sz w:val="16"/>
                <w:szCs w:val="16"/>
              </w:rPr>
              <w:t>1,200</w:t>
            </w:r>
          </w:p>
        </w:tc>
        <w:tc>
          <w:tcPr>
            <w:tcW w:w="851" w:type="dxa"/>
            <w:tcBorders>
              <w:top w:val="nil"/>
              <w:left w:val="nil"/>
              <w:bottom w:val="single" w:sz="4" w:space="0" w:color="0093D0"/>
              <w:right w:val="nil"/>
            </w:tcBorders>
            <w:shd w:val="clear" w:color="auto" w:fill="auto"/>
            <w:noWrap/>
            <w:vAlign w:val="center"/>
            <w:hideMark/>
          </w:tcPr>
          <w:p w:rsidR="008612CA" w:rsidRDefault="008612CA" w:rsidP="008612CA">
            <w:pPr>
              <w:spacing w:after="0" w:line="240" w:lineRule="auto"/>
              <w:jc w:val="center"/>
              <w:rPr>
                <w:b/>
                <w:bCs/>
                <w:color w:val="000000"/>
                <w:sz w:val="16"/>
                <w:szCs w:val="16"/>
              </w:rPr>
            </w:pPr>
            <w:r>
              <w:rPr>
                <w:b/>
                <w:bCs/>
                <w:color w:val="000000"/>
                <w:sz w:val="16"/>
                <w:szCs w:val="16"/>
              </w:rPr>
              <w:t>71</w:t>
            </w:r>
          </w:p>
        </w:tc>
        <w:tc>
          <w:tcPr>
            <w:tcW w:w="851" w:type="dxa"/>
            <w:tcBorders>
              <w:top w:val="nil"/>
              <w:left w:val="nil"/>
              <w:bottom w:val="single" w:sz="4" w:space="0" w:color="0093D0"/>
              <w:right w:val="nil"/>
            </w:tcBorders>
            <w:shd w:val="clear" w:color="auto" w:fill="auto"/>
            <w:noWrap/>
            <w:vAlign w:val="center"/>
            <w:hideMark/>
          </w:tcPr>
          <w:p w:rsidR="008612CA" w:rsidRDefault="008612CA" w:rsidP="008612CA">
            <w:pPr>
              <w:spacing w:after="0" w:line="240" w:lineRule="auto"/>
              <w:jc w:val="center"/>
              <w:rPr>
                <w:b/>
                <w:bCs/>
                <w:color w:val="000000"/>
                <w:sz w:val="16"/>
                <w:szCs w:val="16"/>
              </w:rPr>
            </w:pPr>
            <w:r>
              <w:rPr>
                <w:b/>
                <w:bCs/>
                <w:color w:val="000000"/>
                <w:sz w:val="16"/>
                <w:szCs w:val="16"/>
              </w:rPr>
              <w:t>4</w:t>
            </w:r>
          </w:p>
        </w:tc>
        <w:tc>
          <w:tcPr>
            <w:tcW w:w="983" w:type="dxa"/>
            <w:tcBorders>
              <w:top w:val="nil"/>
              <w:left w:val="nil"/>
              <w:bottom w:val="single" w:sz="4" w:space="0" w:color="0093D0"/>
              <w:right w:val="nil"/>
            </w:tcBorders>
            <w:vAlign w:val="center"/>
          </w:tcPr>
          <w:p w:rsidR="008612CA" w:rsidRPr="009263A0" w:rsidRDefault="008612CA" w:rsidP="008612CA">
            <w:pPr>
              <w:spacing w:after="0" w:line="240" w:lineRule="auto"/>
              <w:jc w:val="center"/>
              <w:rPr>
                <w:b/>
                <w:bCs/>
                <w:color w:val="000000"/>
                <w:sz w:val="16"/>
                <w:szCs w:val="16"/>
              </w:rPr>
            </w:pPr>
            <w:r w:rsidRPr="009263A0">
              <w:rPr>
                <w:b/>
                <w:bCs/>
                <w:color w:val="000000"/>
                <w:sz w:val="16"/>
                <w:szCs w:val="16"/>
              </w:rPr>
              <w:t>2,500 – 2,</w:t>
            </w:r>
            <w:r>
              <w:rPr>
                <w:b/>
                <w:bCs/>
                <w:color w:val="000000"/>
                <w:sz w:val="16"/>
                <w:szCs w:val="16"/>
              </w:rPr>
              <w:t>7</w:t>
            </w:r>
            <w:r w:rsidRPr="009263A0">
              <w:rPr>
                <w:b/>
                <w:bCs/>
                <w:color w:val="000000"/>
                <w:sz w:val="16"/>
                <w:szCs w:val="16"/>
              </w:rPr>
              <w:t>00</w:t>
            </w:r>
          </w:p>
        </w:tc>
      </w:tr>
    </w:tbl>
    <w:p w:rsidR="00EE00DE" w:rsidRDefault="00EE00DE" w:rsidP="00EE00DE">
      <w:pPr>
        <w:pStyle w:val="MJAnormal"/>
      </w:pPr>
    </w:p>
    <w:p w:rsidR="0068175B" w:rsidRDefault="0068175B" w:rsidP="0068175B">
      <w:pPr>
        <w:pStyle w:val="Caption"/>
      </w:pPr>
      <w:r>
        <w:t xml:space="preserve">Figure </w:t>
      </w:r>
      <w:r w:rsidR="00C23339">
        <w:fldChar w:fldCharType="begin"/>
      </w:r>
      <w:r w:rsidR="007B266E">
        <w:instrText xml:space="preserve"> SEQ Figure \* ARABIC </w:instrText>
      </w:r>
      <w:r w:rsidR="00C23339">
        <w:fldChar w:fldCharType="separate"/>
      </w:r>
      <w:r w:rsidR="00E00DC7">
        <w:rPr>
          <w:noProof/>
        </w:rPr>
        <w:t>18</w:t>
      </w:r>
      <w:r w:rsidR="00C23339">
        <w:rPr>
          <w:noProof/>
        </w:rPr>
        <w:fldChar w:fldCharType="end"/>
      </w:r>
      <w:r>
        <w:t>: Entitlement market price range by volume</w:t>
      </w:r>
    </w:p>
    <w:p w:rsidR="008612CA" w:rsidRPr="008612CA" w:rsidRDefault="008612CA" w:rsidP="008612CA">
      <w:pPr>
        <w:pStyle w:val="MJAnormal"/>
      </w:pPr>
      <w:r>
        <w:rPr>
          <w:noProof/>
          <w:lang w:eastAsia="en-AU"/>
        </w:rPr>
        <w:drawing>
          <wp:inline distT="0" distB="0" distL="0" distR="0">
            <wp:extent cx="5760000" cy="207310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073101"/>
                    </a:xfrm>
                    <a:prstGeom prst="rect">
                      <a:avLst/>
                    </a:prstGeom>
                    <a:noFill/>
                  </pic:spPr>
                </pic:pic>
              </a:graphicData>
            </a:graphic>
          </wp:inline>
        </w:drawing>
      </w:r>
    </w:p>
    <w:p w:rsidR="0068175B" w:rsidRDefault="0068175B" w:rsidP="008612CA">
      <w:pPr>
        <w:pStyle w:val="MJAnormal"/>
      </w:pPr>
    </w:p>
    <w:p w:rsidR="002D50B8" w:rsidRPr="00564276" w:rsidRDefault="002D50B8" w:rsidP="002D50B8">
      <w:pPr>
        <w:pStyle w:val="MJAsource"/>
        <w:rPr>
          <w:sz w:val="16"/>
        </w:rPr>
      </w:pPr>
      <w:r w:rsidRPr="00AE33C7">
        <w:rPr>
          <w:b/>
          <w:sz w:val="16"/>
          <w:szCs w:val="16"/>
        </w:rPr>
        <w:t xml:space="preserve">Data Sources: </w:t>
      </w:r>
      <w:r w:rsidRPr="00AE33C7">
        <w:rPr>
          <w:sz w:val="16"/>
          <w:szCs w:val="16"/>
        </w:rPr>
        <w:t>VIC</w:t>
      </w:r>
      <w:r w:rsidRPr="00564276">
        <w:rPr>
          <w:sz w:val="16"/>
        </w:rPr>
        <w:t xml:space="preserve"> Water Register (waterregister.vic.gov.au/water-trading/water-share-trading), National Water Exchange </w:t>
      </w:r>
      <w:r w:rsidR="000A37A8" w:rsidRPr="00F17E80">
        <w:rPr>
          <w:sz w:val="16"/>
        </w:rPr>
        <w:t>(</w:t>
      </w:r>
      <w:hyperlink r:id="rId59" w:history="1">
        <w:r w:rsidR="000A37A8" w:rsidRPr="00631B5E">
          <w:rPr>
            <w:rStyle w:val="Hyperlink"/>
            <w:sz w:val="16"/>
          </w:rPr>
          <w:t>www.waterexchange.com.au</w:t>
        </w:r>
      </w:hyperlink>
      <w:r w:rsidR="000A37A8" w:rsidRPr="00F17E80">
        <w:rPr>
          <w:sz w:val="16"/>
        </w:rPr>
        <w:t xml:space="preserve">), </w:t>
      </w:r>
      <w:proofErr w:type="spellStart"/>
      <w:r w:rsidR="000A37A8" w:rsidRPr="00F17E80">
        <w:rPr>
          <w:sz w:val="16"/>
        </w:rPr>
        <w:t>Waterfind</w:t>
      </w:r>
      <w:proofErr w:type="spellEnd"/>
      <w:r w:rsidR="000A37A8" w:rsidRPr="00F17E80">
        <w:rPr>
          <w:sz w:val="16"/>
        </w:rPr>
        <w:t xml:space="preserve"> (</w:t>
      </w:r>
      <w:hyperlink r:id="rId60" w:history="1">
        <w:r w:rsidR="000A37A8" w:rsidRPr="00F17E80">
          <w:rPr>
            <w:rStyle w:val="Hyperlink"/>
            <w:sz w:val="16"/>
          </w:rPr>
          <w:t>www.waterfind.com.au</w:t>
        </w:r>
      </w:hyperlink>
      <w:r w:rsidR="000A37A8" w:rsidRPr="00F17E80">
        <w:rPr>
          <w:sz w:val="16"/>
        </w:rPr>
        <w:t>)</w:t>
      </w:r>
      <w:r w:rsidR="000A37A8">
        <w:rPr>
          <w:sz w:val="16"/>
        </w:rPr>
        <w:t>, H2OX (</w:t>
      </w:r>
      <w:hyperlink r:id="rId61" w:history="1">
        <w:r w:rsidR="000A37A8" w:rsidRPr="00631B5E">
          <w:rPr>
            <w:rStyle w:val="Hyperlink"/>
            <w:sz w:val="16"/>
          </w:rPr>
          <w:t>www.h2ox.com</w:t>
        </w:r>
      </w:hyperlink>
      <w:r w:rsidR="000A37A8">
        <w:rPr>
          <w:sz w:val="16"/>
        </w:rPr>
        <w:t>)</w:t>
      </w:r>
    </w:p>
    <w:p w:rsidR="00EE00DE" w:rsidRDefault="00EE00DE" w:rsidP="00EE00DE">
      <w:pPr>
        <w:rPr>
          <w:sz w:val="18"/>
        </w:rPr>
      </w:pPr>
      <w:r>
        <w:rPr>
          <w:sz w:val="18"/>
        </w:rPr>
        <w:br w:type="page"/>
      </w:r>
    </w:p>
    <w:p w:rsidR="00EE00DE" w:rsidRDefault="00EE00DE" w:rsidP="00EE00DE">
      <w:pPr>
        <w:pStyle w:val="MJAheading2"/>
      </w:pPr>
      <w:bookmarkStart w:id="39" w:name="_Toc441834751"/>
      <w:r>
        <w:t>Loddon: High Reliability</w:t>
      </w:r>
      <w:bookmarkEnd w:id="39"/>
    </w:p>
    <w:p w:rsidR="00EE00DE" w:rsidRDefault="00EE00DE" w:rsidP="00EE00DE">
      <w:pPr>
        <w:pStyle w:val="Caption"/>
      </w:pPr>
      <w:bookmarkStart w:id="40" w:name="_Toc426386645"/>
      <w:r>
        <w:t xml:space="preserve">Figure </w:t>
      </w:r>
      <w:r w:rsidR="00C23339">
        <w:fldChar w:fldCharType="begin"/>
      </w:r>
      <w:r w:rsidR="00134558">
        <w:instrText xml:space="preserve"> SEQ Figure \* ARABIC </w:instrText>
      </w:r>
      <w:r w:rsidR="00C23339">
        <w:fldChar w:fldCharType="separate"/>
      </w:r>
      <w:r w:rsidR="00E00DC7">
        <w:rPr>
          <w:noProof/>
        </w:rPr>
        <w:t>19</w:t>
      </w:r>
      <w:r w:rsidR="00C23339">
        <w:rPr>
          <w:noProof/>
        </w:rPr>
        <w:fldChar w:fldCharType="end"/>
      </w:r>
      <w:r>
        <w:t>: Entitlement market prices and volumes</w:t>
      </w:r>
      <w:bookmarkEnd w:id="40"/>
    </w:p>
    <w:p w:rsidR="00EE00DE" w:rsidRDefault="00AD02F7" w:rsidP="00AD02F7">
      <w:pPr>
        <w:pStyle w:val="MJAnormal"/>
      </w:pPr>
      <w:r>
        <w:rPr>
          <w:noProof/>
          <w:lang w:eastAsia="en-AU"/>
        </w:rPr>
        <w:drawing>
          <wp:inline distT="0" distB="0" distL="0" distR="0">
            <wp:extent cx="5760000" cy="279056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EE00DE" w:rsidRPr="003A4303" w:rsidRDefault="00EE00DE" w:rsidP="00AD02F7">
      <w:pPr>
        <w:pStyle w:val="MJAnormal"/>
      </w:pPr>
    </w:p>
    <w:p w:rsidR="00EE00DE" w:rsidRDefault="00EE00DE" w:rsidP="00EE00DE">
      <w:pPr>
        <w:pStyle w:val="Caption"/>
      </w:pPr>
      <w:bookmarkStart w:id="41" w:name="_Toc426386587"/>
      <w:r>
        <w:t xml:space="preserve">Table </w:t>
      </w:r>
      <w:r w:rsidR="00C23339">
        <w:fldChar w:fldCharType="begin"/>
      </w:r>
      <w:r w:rsidR="00134558">
        <w:instrText xml:space="preserve"> SEQ Table \* ARABIC </w:instrText>
      </w:r>
      <w:r w:rsidR="00C23339">
        <w:fldChar w:fldCharType="separate"/>
      </w:r>
      <w:r w:rsidR="00E00DC7">
        <w:rPr>
          <w:noProof/>
        </w:rPr>
        <w:t>10</w:t>
      </w:r>
      <w:r w:rsidR="00C23339">
        <w:rPr>
          <w:noProof/>
        </w:rPr>
        <w:fldChar w:fldCharType="end"/>
      </w:r>
      <w:r>
        <w:t>: Entitlement market prices and volumes</w:t>
      </w:r>
      <w:bookmarkEnd w:id="41"/>
    </w:p>
    <w:tbl>
      <w:tblPr>
        <w:tblW w:w="0" w:type="auto"/>
        <w:tblLayout w:type="fixed"/>
        <w:tblCellMar>
          <w:left w:w="28" w:type="dxa"/>
          <w:right w:w="28" w:type="dxa"/>
        </w:tblCellMar>
        <w:tblLook w:val="04A0"/>
      </w:tblPr>
      <w:tblGrid>
        <w:gridCol w:w="876"/>
        <w:gridCol w:w="911"/>
        <w:gridCol w:w="867"/>
        <w:gridCol w:w="744"/>
        <w:gridCol w:w="745"/>
        <w:gridCol w:w="745"/>
        <w:gridCol w:w="745"/>
        <w:gridCol w:w="754"/>
        <w:gridCol w:w="850"/>
        <w:gridCol w:w="850"/>
        <w:gridCol w:w="984"/>
      </w:tblGrid>
      <w:tr w:rsidR="00E873CF" w:rsidRPr="00147005" w:rsidTr="00EA394F">
        <w:trPr>
          <w:trHeight w:val="525"/>
        </w:trPr>
        <w:tc>
          <w:tcPr>
            <w:tcW w:w="2654" w:type="dxa"/>
            <w:gridSpan w:val="3"/>
            <w:tcBorders>
              <w:top w:val="nil"/>
              <w:left w:val="nil"/>
              <w:bottom w:val="nil"/>
              <w:right w:val="nil"/>
            </w:tcBorders>
            <w:shd w:val="clear" w:color="000000" w:fill="0093D0"/>
            <w:noWrap/>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3733" w:type="dxa"/>
            <w:gridSpan w:val="5"/>
            <w:tcBorders>
              <w:top w:val="nil"/>
              <w:left w:val="single" w:sz="4" w:space="0" w:color="C5D9F1"/>
              <w:bottom w:val="nil"/>
              <w:right w:val="single" w:sz="4" w:space="0" w:color="C5D9F1"/>
            </w:tcBorders>
            <w:shd w:val="clear" w:color="000000" w:fill="0093D0"/>
            <w:noWrap/>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E873CF" w:rsidRPr="00147005">
              <w:rPr>
                <w:rFonts w:eastAsia="Times New Roman"/>
                <w:b/>
                <w:bCs/>
                <w:color w:val="FFFFFF"/>
                <w:sz w:val="16"/>
                <w:szCs w:val="20"/>
                <w:lang w:eastAsia="en-AU"/>
              </w:rPr>
              <w:t xml:space="preserve"> 2015 Quarter (in $/ML)</w:t>
            </w:r>
          </w:p>
        </w:tc>
        <w:tc>
          <w:tcPr>
            <w:tcW w:w="850" w:type="dxa"/>
            <w:vMerge w:val="restart"/>
            <w:tcBorders>
              <w:top w:val="nil"/>
              <w:left w:val="single" w:sz="4" w:space="0" w:color="C5D9F1"/>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Volume</w:t>
            </w:r>
            <w:r w:rsidR="00E873CF">
              <w:rPr>
                <w:rFonts w:eastAsia="Times New Roman"/>
                <w:b/>
                <w:bCs/>
                <w:color w:val="FFFFFF"/>
                <w:sz w:val="16"/>
                <w:szCs w:val="20"/>
                <w:lang w:eastAsia="en-AU"/>
              </w:rPr>
              <w:t xml:space="preserve"> (ML)</w:t>
            </w:r>
          </w:p>
        </w:tc>
        <w:tc>
          <w:tcPr>
            <w:tcW w:w="850" w:type="dxa"/>
            <w:vMerge w:val="restart"/>
            <w:tcBorders>
              <w:top w:val="nil"/>
              <w:left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 of trades</w:t>
            </w:r>
          </w:p>
        </w:tc>
        <w:tc>
          <w:tcPr>
            <w:tcW w:w="984" w:type="dxa"/>
            <w:vMerge w:val="restart"/>
            <w:tcBorders>
              <w:top w:val="nil"/>
              <w:left w:val="nil"/>
              <w:right w:val="nil"/>
            </w:tcBorders>
            <w:shd w:val="clear" w:color="000000" w:fill="0093D0"/>
            <w:vAlign w:val="center"/>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E873CF" w:rsidRPr="00147005" w:rsidTr="00EA394F">
        <w:trPr>
          <w:trHeight w:val="552"/>
        </w:trPr>
        <w:tc>
          <w:tcPr>
            <w:tcW w:w="876"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911" w:type="dxa"/>
            <w:tcBorders>
              <w:top w:val="nil"/>
              <w:left w:val="nil"/>
              <w:bottom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w:t>
            </w:r>
          </w:p>
        </w:tc>
        <w:tc>
          <w:tcPr>
            <w:tcW w:w="867"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744" w:type="dxa"/>
            <w:tcBorders>
              <w:top w:val="nil"/>
              <w:left w:val="single" w:sz="4" w:space="0" w:color="C5D9F1"/>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745"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745"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745"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754" w:type="dxa"/>
            <w:tcBorders>
              <w:top w:val="nil"/>
              <w:left w:val="nil"/>
              <w:bottom w:val="nil"/>
              <w:right w:val="single" w:sz="4" w:space="0" w:color="C5D9F1"/>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850" w:type="dxa"/>
            <w:vMerge/>
            <w:tcBorders>
              <w:left w:val="single" w:sz="4" w:space="0" w:color="C5D9F1"/>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850" w:type="dxa"/>
            <w:vMerge/>
            <w:tcBorders>
              <w:left w:val="nil"/>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984" w:type="dxa"/>
            <w:vMerge/>
            <w:tcBorders>
              <w:left w:val="nil"/>
              <w:bottom w:val="nil"/>
              <w:right w:val="nil"/>
            </w:tcBorders>
          </w:tcPr>
          <w:p w:rsidR="00E873CF" w:rsidRPr="00147005" w:rsidRDefault="00E873CF" w:rsidP="00E873CF">
            <w:pPr>
              <w:spacing w:after="0" w:line="240" w:lineRule="auto"/>
              <w:rPr>
                <w:rFonts w:eastAsia="Times New Roman"/>
                <w:b/>
                <w:bCs/>
                <w:color w:val="FFFFFF"/>
                <w:sz w:val="16"/>
                <w:szCs w:val="20"/>
                <w:lang w:eastAsia="en-AU"/>
              </w:rPr>
            </w:pPr>
          </w:p>
        </w:tc>
      </w:tr>
      <w:tr w:rsidR="00AD02F7" w:rsidRPr="00AD02F7" w:rsidTr="00EA394F">
        <w:trPr>
          <w:trHeight w:val="555"/>
        </w:trPr>
        <w:tc>
          <w:tcPr>
            <w:tcW w:w="876" w:type="dxa"/>
            <w:tcBorders>
              <w:top w:val="nil"/>
              <w:left w:val="nil"/>
              <w:bottom w:val="single" w:sz="4" w:space="0" w:color="0093D0"/>
              <w:right w:val="nil"/>
            </w:tcBorders>
            <w:shd w:val="clear" w:color="auto" w:fill="auto"/>
            <w:noWrap/>
            <w:vAlign w:val="center"/>
            <w:hideMark/>
          </w:tcPr>
          <w:p w:rsidR="00AD02F7" w:rsidRDefault="00AD02F7" w:rsidP="00AD02F7">
            <w:pPr>
              <w:spacing w:after="0" w:line="240" w:lineRule="auto"/>
              <w:jc w:val="center"/>
              <w:rPr>
                <w:b/>
                <w:bCs/>
                <w:color w:val="000000"/>
                <w:sz w:val="16"/>
                <w:szCs w:val="16"/>
                <w:lang w:eastAsia="en-AU"/>
              </w:rPr>
            </w:pPr>
            <w:r>
              <w:rPr>
                <w:b/>
                <w:bCs/>
                <w:color w:val="000000"/>
                <w:sz w:val="16"/>
                <w:szCs w:val="16"/>
              </w:rPr>
              <w:t>1,526</w:t>
            </w:r>
          </w:p>
        </w:tc>
        <w:tc>
          <w:tcPr>
            <w:tcW w:w="911" w:type="dxa"/>
            <w:tcBorders>
              <w:top w:val="nil"/>
              <w:left w:val="nil"/>
              <w:bottom w:val="single" w:sz="4" w:space="0" w:color="0093D0"/>
              <w:right w:val="nil"/>
            </w:tcBorders>
            <w:shd w:val="clear" w:color="auto" w:fill="auto"/>
            <w:noWrap/>
            <w:vAlign w:val="center"/>
            <w:hideMark/>
          </w:tcPr>
          <w:p w:rsidR="00AD02F7" w:rsidRDefault="00AD02F7" w:rsidP="00AD02F7">
            <w:pPr>
              <w:spacing w:after="0" w:line="240" w:lineRule="auto"/>
              <w:jc w:val="center"/>
              <w:rPr>
                <w:b/>
                <w:bCs/>
                <w:color w:val="000000"/>
                <w:sz w:val="16"/>
                <w:szCs w:val="16"/>
              </w:rPr>
            </w:pPr>
            <w:r>
              <w:rPr>
                <w:b/>
                <w:bCs/>
                <w:color w:val="000000"/>
                <w:sz w:val="16"/>
                <w:szCs w:val="16"/>
              </w:rPr>
              <w:t>1,526</w:t>
            </w:r>
          </w:p>
        </w:tc>
        <w:tc>
          <w:tcPr>
            <w:tcW w:w="867" w:type="dxa"/>
            <w:tcBorders>
              <w:top w:val="nil"/>
              <w:left w:val="nil"/>
              <w:bottom w:val="single" w:sz="4" w:space="0" w:color="0093D0"/>
              <w:right w:val="nil"/>
            </w:tcBorders>
            <w:shd w:val="clear" w:color="auto" w:fill="auto"/>
            <w:noWrap/>
            <w:vAlign w:val="center"/>
            <w:hideMark/>
          </w:tcPr>
          <w:p w:rsidR="00AD02F7" w:rsidRDefault="00AD02F7" w:rsidP="00AD02F7">
            <w:pPr>
              <w:spacing w:after="0" w:line="240" w:lineRule="auto"/>
              <w:jc w:val="center"/>
              <w:rPr>
                <w:b/>
                <w:bCs/>
                <w:color w:val="000000"/>
                <w:sz w:val="16"/>
                <w:szCs w:val="16"/>
              </w:rPr>
            </w:pPr>
            <w:r>
              <w:rPr>
                <w:b/>
                <w:bCs/>
                <w:color w:val="000000"/>
                <w:sz w:val="16"/>
                <w:szCs w:val="16"/>
              </w:rPr>
              <w:t>1,413</w:t>
            </w:r>
          </w:p>
        </w:tc>
        <w:tc>
          <w:tcPr>
            <w:tcW w:w="744" w:type="dxa"/>
            <w:tcBorders>
              <w:top w:val="nil"/>
              <w:left w:val="nil"/>
              <w:bottom w:val="single" w:sz="4" w:space="0" w:color="0093D0"/>
              <w:right w:val="nil"/>
            </w:tcBorders>
            <w:shd w:val="clear" w:color="auto" w:fill="auto"/>
            <w:noWrap/>
            <w:vAlign w:val="center"/>
            <w:hideMark/>
          </w:tcPr>
          <w:p w:rsidR="00AD02F7" w:rsidRDefault="00AD02F7" w:rsidP="00AD02F7">
            <w:pPr>
              <w:spacing w:after="0" w:line="240" w:lineRule="auto"/>
              <w:jc w:val="center"/>
              <w:rPr>
                <w:b/>
                <w:bCs/>
                <w:color w:val="000000"/>
                <w:sz w:val="16"/>
                <w:szCs w:val="16"/>
              </w:rPr>
            </w:pPr>
            <w:r>
              <w:rPr>
                <w:b/>
                <w:bCs/>
                <w:color w:val="000000"/>
                <w:sz w:val="16"/>
                <w:szCs w:val="16"/>
              </w:rPr>
              <w:t>1,550</w:t>
            </w:r>
          </w:p>
        </w:tc>
        <w:tc>
          <w:tcPr>
            <w:tcW w:w="745" w:type="dxa"/>
            <w:tcBorders>
              <w:top w:val="nil"/>
              <w:left w:val="nil"/>
              <w:bottom w:val="single" w:sz="4" w:space="0" w:color="0093D0"/>
              <w:right w:val="nil"/>
            </w:tcBorders>
            <w:shd w:val="clear" w:color="auto" w:fill="auto"/>
            <w:noWrap/>
            <w:vAlign w:val="center"/>
            <w:hideMark/>
          </w:tcPr>
          <w:p w:rsidR="00AD02F7" w:rsidRDefault="00AD02F7" w:rsidP="00AD02F7">
            <w:pPr>
              <w:spacing w:after="0" w:line="240" w:lineRule="auto"/>
              <w:jc w:val="center"/>
              <w:rPr>
                <w:b/>
                <w:bCs/>
                <w:color w:val="000000"/>
                <w:sz w:val="16"/>
                <w:szCs w:val="16"/>
              </w:rPr>
            </w:pPr>
            <w:r>
              <w:rPr>
                <w:b/>
                <w:bCs/>
                <w:color w:val="000000"/>
                <w:sz w:val="16"/>
                <w:szCs w:val="16"/>
              </w:rPr>
              <w:t>1,700</w:t>
            </w:r>
          </w:p>
        </w:tc>
        <w:tc>
          <w:tcPr>
            <w:tcW w:w="745" w:type="dxa"/>
            <w:tcBorders>
              <w:top w:val="nil"/>
              <w:left w:val="nil"/>
              <w:bottom w:val="single" w:sz="4" w:space="0" w:color="0093D0"/>
              <w:right w:val="nil"/>
            </w:tcBorders>
            <w:shd w:val="clear" w:color="auto" w:fill="auto"/>
            <w:noWrap/>
            <w:vAlign w:val="center"/>
            <w:hideMark/>
          </w:tcPr>
          <w:p w:rsidR="00AD02F7" w:rsidRDefault="00AD02F7" w:rsidP="00AD02F7">
            <w:pPr>
              <w:spacing w:after="0" w:line="240" w:lineRule="auto"/>
              <w:jc w:val="center"/>
              <w:rPr>
                <w:b/>
                <w:bCs/>
                <w:color w:val="000000"/>
                <w:sz w:val="16"/>
                <w:szCs w:val="16"/>
              </w:rPr>
            </w:pPr>
            <w:r>
              <w:rPr>
                <w:b/>
                <w:bCs/>
                <w:color w:val="000000"/>
                <w:sz w:val="16"/>
                <w:szCs w:val="16"/>
              </w:rPr>
              <w:t>1,600</w:t>
            </w:r>
          </w:p>
        </w:tc>
        <w:tc>
          <w:tcPr>
            <w:tcW w:w="745" w:type="dxa"/>
            <w:tcBorders>
              <w:top w:val="nil"/>
              <w:left w:val="nil"/>
              <w:bottom w:val="single" w:sz="4" w:space="0" w:color="0093D0"/>
              <w:right w:val="nil"/>
            </w:tcBorders>
            <w:shd w:val="clear" w:color="auto" w:fill="auto"/>
            <w:noWrap/>
            <w:vAlign w:val="center"/>
            <w:hideMark/>
          </w:tcPr>
          <w:p w:rsidR="00AD02F7" w:rsidRDefault="00AD02F7" w:rsidP="00AD02F7">
            <w:pPr>
              <w:spacing w:after="0" w:line="240" w:lineRule="auto"/>
              <w:jc w:val="center"/>
              <w:rPr>
                <w:b/>
                <w:bCs/>
                <w:color w:val="000000"/>
                <w:sz w:val="16"/>
                <w:szCs w:val="16"/>
              </w:rPr>
            </w:pPr>
            <w:r>
              <w:rPr>
                <w:b/>
                <w:bCs/>
                <w:color w:val="000000"/>
                <w:sz w:val="16"/>
                <w:szCs w:val="16"/>
              </w:rPr>
              <w:t>1,633</w:t>
            </w:r>
          </w:p>
        </w:tc>
        <w:tc>
          <w:tcPr>
            <w:tcW w:w="754" w:type="dxa"/>
            <w:tcBorders>
              <w:top w:val="nil"/>
              <w:left w:val="nil"/>
              <w:bottom w:val="single" w:sz="4" w:space="0" w:color="0093D0"/>
              <w:right w:val="nil"/>
            </w:tcBorders>
            <w:shd w:val="clear" w:color="auto" w:fill="auto"/>
            <w:noWrap/>
            <w:vAlign w:val="center"/>
            <w:hideMark/>
          </w:tcPr>
          <w:p w:rsidR="00AD02F7" w:rsidRDefault="00AD02F7" w:rsidP="00AD02F7">
            <w:pPr>
              <w:spacing w:after="0" w:line="240" w:lineRule="auto"/>
              <w:jc w:val="center"/>
              <w:rPr>
                <w:b/>
                <w:bCs/>
                <w:color w:val="000000"/>
                <w:sz w:val="16"/>
                <w:szCs w:val="16"/>
              </w:rPr>
            </w:pPr>
            <w:r>
              <w:rPr>
                <w:b/>
                <w:bCs/>
                <w:color w:val="000000"/>
                <w:sz w:val="16"/>
                <w:szCs w:val="16"/>
              </w:rPr>
              <w:t>-</w:t>
            </w:r>
          </w:p>
        </w:tc>
        <w:tc>
          <w:tcPr>
            <w:tcW w:w="850" w:type="dxa"/>
            <w:tcBorders>
              <w:top w:val="nil"/>
              <w:left w:val="nil"/>
              <w:bottom w:val="single" w:sz="4" w:space="0" w:color="0093D0"/>
              <w:right w:val="nil"/>
            </w:tcBorders>
            <w:shd w:val="clear" w:color="auto" w:fill="auto"/>
            <w:noWrap/>
            <w:vAlign w:val="center"/>
            <w:hideMark/>
          </w:tcPr>
          <w:p w:rsidR="00AD02F7" w:rsidRDefault="00AD02F7" w:rsidP="00AD02F7">
            <w:pPr>
              <w:spacing w:after="0" w:line="240" w:lineRule="auto"/>
              <w:jc w:val="center"/>
              <w:rPr>
                <w:b/>
                <w:bCs/>
                <w:color w:val="000000"/>
                <w:sz w:val="16"/>
                <w:szCs w:val="16"/>
              </w:rPr>
            </w:pPr>
            <w:r>
              <w:rPr>
                <w:b/>
                <w:bCs/>
                <w:color w:val="000000"/>
                <w:sz w:val="16"/>
                <w:szCs w:val="16"/>
              </w:rPr>
              <w:t>179</w:t>
            </w:r>
          </w:p>
        </w:tc>
        <w:tc>
          <w:tcPr>
            <w:tcW w:w="850" w:type="dxa"/>
            <w:tcBorders>
              <w:top w:val="nil"/>
              <w:left w:val="nil"/>
              <w:bottom w:val="single" w:sz="4" w:space="0" w:color="0093D0"/>
              <w:right w:val="nil"/>
            </w:tcBorders>
            <w:shd w:val="clear" w:color="auto" w:fill="auto"/>
            <w:noWrap/>
            <w:vAlign w:val="center"/>
            <w:hideMark/>
          </w:tcPr>
          <w:p w:rsidR="00AD02F7" w:rsidRDefault="00AD02F7" w:rsidP="00AD02F7">
            <w:pPr>
              <w:spacing w:after="0" w:line="240" w:lineRule="auto"/>
              <w:jc w:val="center"/>
              <w:rPr>
                <w:b/>
                <w:bCs/>
                <w:color w:val="000000"/>
                <w:sz w:val="16"/>
                <w:szCs w:val="16"/>
              </w:rPr>
            </w:pPr>
            <w:r>
              <w:rPr>
                <w:b/>
                <w:bCs/>
                <w:color w:val="000000"/>
                <w:sz w:val="16"/>
                <w:szCs w:val="16"/>
              </w:rPr>
              <w:t>3</w:t>
            </w:r>
          </w:p>
        </w:tc>
        <w:tc>
          <w:tcPr>
            <w:tcW w:w="984" w:type="dxa"/>
            <w:tcBorders>
              <w:top w:val="nil"/>
              <w:left w:val="nil"/>
              <w:bottom w:val="single" w:sz="4" w:space="0" w:color="0093D0"/>
              <w:right w:val="nil"/>
            </w:tcBorders>
            <w:vAlign w:val="center"/>
          </w:tcPr>
          <w:p w:rsidR="00AD02F7" w:rsidRPr="00AD02F7" w:rsidRDefault="00AD02F7" w:rsidP="00AD02F7">
            <w:pPr>
              <w:spacing w:after="0" w:line="240" w:lineRule="auto"/>
              <w:jc w:val="center"/>
              <w:rPr>
                <w:rFonts w:eastAsia="Times New Roman"/>
                <w:bCs/>
                <w:color w:val="000000"/>
                <w:sz w:val="16"/>
                <w:szCs w:val="20"/>
                <w:lang w:eastAsia="en-AU"/>
              </w:rPr>
            </w:pPr>
            <w:r w:rsidRPr="00AD02F7">
              <w:rPr>
                <w:bCs/>
                <w:color w:val="000000"/>
                <w:sz w:val="16"/>
                <w:szCs w:val="16"/>
              </w:rPr>
              <w:t>No listings</w:t>
            </w:r>
          </w:p>
        </w:tc>
      </w:tr>
    </w:tbl>
    <w:p w:rsidR="00EE00DE" w:rsidRDefault="00EE00DE" w:rsidP="00EE00DE">
      <w:pPr>
        <w:pStyle w:val="MJAnormal"/>
      </w:pPr>
    </w:p>
    <w:p w:rsidR="00F0626D" w:rsidRDefault="00F0626D" w:rsidP="00F0626D">
      <w:pPr>
        <w:pStyle w:val="Caption"/>
      </w:pPr>
      <w:r>
        <w:t xml:space="preserve">Figure </w:t>
      </w:r>
      <w:r w:rsidR="00C23339">
        <w:fldChar w:fldCharType="begin"/>
      </w:r>
      <w:r w:rsidR="00134558">
        <w:instrText xml:space="preserve"> SEQ Figure \* ARABIC </w:instrText>
      </w:r>
      <w:r w:rsidR="00C23339">
        <w:fldChar w:fldCharType="separate"/>
      </w:r>
      <w:r w:rsidR="00E00DC7">
        <w:rPr>
          <w:noProof/>
        </w:rPr>
        <w:t>20</w:t>
      </w:r>
      <w:r w:rsidR="00C23339">
        <w:rPr>
          <w:noProof/>
        </w:rPr>
        <w:fldChar w:fldCharType="end"/>
      </w:r>
      <w:r>
        <w:t>: Entitlement market price range by volume</w:t>
      </w:r>
    </w:p>
    <w:p w:rsidR="00AD02F7" w:rsidRPr="00AD02F7" w:rsidRDefault="00AD02F7" w:rsidP="00AD02F7">
      <w:pPr>
        <w:pStyle w:val="MJAnormal"/>
      </w:pPr>
      <w:r>
        <w:rPr>
          <w:noProof/>
          <w:lang w:eastAsia="en-AU"/>
        </w:rPr>
        <w:drawing>
          <wp:inline distT="0" distB="0" distL="0" distR="0">
            <wp:extent cx="5760000" cy="207310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073101"/>
                    </a:xfrm>
                    <a:prstGeom prst="rect">
                      <a:avLst/>
                    </a:prstGeom>
                    <a:noFill/>
                  </pic:spPr>
                </pic:pic>
              </a:graphicData>
            </a:graphic>
          </wp:inline>
        </w:drawing>
      </w:r>
    </w:p>
    <w:p w:rsidR="00F0626D" w:rsidRDefault="00F0626D" w:rsidP="00AD02F7">
      <w:pPr>
        <w:pStyle w:val="MJAnormal"/>
      </w:pPr>
    </w:p>
    <w:p w:rsidR="002D50B8" w:rsidRPr="00564276" w:rsidRDefault="002D50B8" w:rsidP="002D50B8">
      <w:pPr>
        <w:pStyle w:val="MJAsource"/>
        <w:rPr>
          <w:sz w:val="16"/>
        </w:rPr>
      </w:pPr>
      <w:r w:rsidRPr="00AE33C7">
        <w:rPr>
          <w:b/>
          <w:sz w:val="16"/>
          <w:szCs w:val="16"/>
        </w:rPr>
        <w:t xml:space="preserve">Data Sources: </w:t>
      </w:r>
      <w:r w:rsidRPr="00AE33C7">
        <w:rPr>
          <w:sz w:val="16"/>
          <w:szCs w:val="16"/>
        </w:rPr>
        <w:t>VIC Water</w:t>
      </w:r>
      <w:r w:rsidRPr="00564276">
        <w:rPr>
          <w:sz w:val="16"/>
        </w:rPr>
        <w:t xml:space="preserve"> Register (waterregister.vic.gov.au/water-trading/water-share-trading), National Water Exchange </w:t>
      </w:r>
      <w:r w:rsidR="000A37A8" w:rsidRPr="00F17E80">
        <w:rPr>
          <w:sz w:val="16"/>
        </w:rPr>
        <w:t>(</w:t>
      </w:r>
      <w:hyperlink r:id="rId64" w:history="1">
        <w:r w:rsidR="000A37A8" w:rsidRPr="00631B5E">
          <w:rPr>
            <w:rStyle w:val="Hyperlink"/>
            <w:sz w:val="16"/>
          </w:rPr>
          <w:t>www.waterexchange.com.au</w:t>
        </w:r>
      </w:hyperlink>
      <w:r w:rsidR="000A37A8" w:rsidRPr="00F17E80">
        <w:rPr>
          <w:sz w:val="16"/>
        </w:rPr>
        <w:t xml:space="preserve">), </w:t>
      </w:r>
      <w:proofErr w:type="spellStart"/>
      <w:r w:rsidR="000A37A8" w:rsidRPr="00F17E80">
        <w:rPr>
          <w:sz w:val="16"/>
        </w:rPr>
        <w:t>Waterfind</w:t>
      </w:r>
      <w:proofErr w:type="spellEnd"/>
      <w:r w:rsidR="000A37A8" w:rsidRPr="00F17E80">
        <w:rPr>
          <w:sz w:val="16"/>
        </w:rPr>
        <w:t xml:space="preserve"> (</w:t>
      </w:r>
      <w:hyperlink r:id="rId65" w:history="1">
        <w:r w:rsidR="000A37A8" w:rsidRPr="00F17E80">
          <w:rPr>
            <w:rStyle w:val="Hyperlink"/>
            <w:sz w:val="16"/>
          </w:rPr>
          <w:t>www.waterfind.com.au</w:t>
        </w:r>
      </w:hyperlink>
      <w:r w:rsidR="000A37A8" w:rsidRPr="00F17E80">
        <w:rPr>
          <w:sz w:val="16"/>
        </w:rPr>
        <w:t>)</w:t>
      </w:r>
      <w:r w:rsidR="000A37A8">
        <w:rPr>
          <w:sz w:val="16"/>
        </w:rPr>
        <w:t>, H2OX (</w:t>
      </w:r>
      <w:hyperlink r:id="rId66" w:history="1">
        <w:r w:rsidR="000A37A8" w:rsidRPr="00631B5E">
          <w:rPr>
            <w:rStyle w:val="Hyperlink"/>
            <w:sz w:val="16"/>
          </w:rPr>
          <w:t>www.h2ox.com</w:t>
        </w:r>
      </w:hyperlink>
      <w:r w:rsidR="000A37A8">
        <w:rPr>
          <w:sz w:val="16"/>
        </w:rPr>
        <w:t>)</w:t>
      </w:r>
    </w:p>
    <w:p w:rsidR="002D50B8" w:rsidRDefault="002D50B8" w:rsidP="00EE00DE">
      <w:pPr>
        <w:tabs>
          <w:tab w:val="center" w:pos="4252"/>
        </w:tabs>
        <w:spacing w:after="0"/>
        <w:rPr>
          <w:b/>
          <w:sz w:val="20"/>
        </w:rPr>
      </w:pPr>
    </w:p>
    <w:p w:rsidR="00EE00DE" w:rsidRPr="00564276" w:rsidRDefault="00EE00DE" w:rsidP="00EE00DE">
      <w:pPr>
        <w:tabs>
          <w:tab w:val="center" w:pos="4252"/>
        </w:tabs>
        <w:spacing w:after="0"/>
        <w:rPr>
          <w:sz w:val="16"/>
        </w:rPr>
      </w:pPr>
      <w:r w:rsidRPr="00564276">
        <w:rPr>
          <w:sz w:val="16"/>
        </w:rPr>
        <w:br w:type="page"/>
      </w:r>
    </w:p>
    <w:p w:rsidR="00EE00DE" w:rsidRDefault="00EE00DE" w:rsidP="00EE00DE">
      <w:pPr>
        <w:pStyle w:val="MJAheading2"/>
      </w:pPr>
      <w:bookmarkStart w:id="42" w:name="_Toc441834752"/>
      <w:r>
        <w:t>NSW Murray: General Security</w:t>
      </w:r>
      <w:bookmarkEnd w:id="42"/>
    </w:p>
    <w:p w:rsidR="00EE00DE" w:rsidRDefault="00EE00DE" w:rsidP="00EE00DE">
      <w:pPr>
        <w:pStyle w:val="Caption"/>
      </w:pPr>
      <w:bookmarkStart w:id="43" w:name="_Toc426386621"/>
      <w:r>
        <w:t xml:space="preserve">Figure </w:t>
      </w:r>
      <w:r w:rsidR="00C23339">
        <w:fldChar w:fldCharType="begin"/>
      </w:r>
      <w:r w:rsidR="00134558">
        <w:instrText xml:space="preserve"> SEQ Figure \* ARABIC </w:instrText>
      </w:r>
      <w:r w:rsidR="00C23339">
        <w:fldChar w:fldCharType="separate"/>
      </w:r>
      <w:r w:rsidR="00E00DC7">
        <w:rPr>
          <w:noProof/>
        </w:rPr>
        <w:t>21</w:t>
      </w:r>
      <w:r w:rsidR="00C23339">
        <w:rPr>
          <w:noProof/>
        </w:rPr>
        <w:fldChar w:fldCharType="end"/>
      </w:r>
      <w:r>
        <w:t>: Entitlement market prices and volumes</w:t>
      </w:r>
      <w:bookmarkEnd w:id="43"/>
    </w:p>
    <w:p w:rsidR="00EE00DE" w:rsidRPr="00AD02F7" w:rsidRDefault="00AD02F7" w:rsidP="00AD02F7">
      <w:pPr>
        <w:pStyle w:val="MJAnormal"/>
      </w:pPr>
      <w:r w:rsidRPr="00AD02F7">
        <w:rPr>
          <w:noProof/>
          <w:lang w:eastAsia="en-AU"/>
        </w:rPr>
        <w:drawing>
          <wp:inline distT="0" distB="0" distL="0" distR="0">
            <wp:extent cx="5760000" cy="279056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EE00DE" w:rsidRPr="00AD02F7" w:rsidRDefault="00EE00DE" w:rsidP="00AD02F7">
      <w:pPr>
        <w:pStyle w:val="MJAnormal"/>
      </w:pPr>
    </w:p>
    <w:p w:rsidR="00EE00DE" w:rsidRDefault="00EE00DE" w:rsidP="00EE00DE">
      <w:pPr>
        <w:pStyle w:val="Caption"/>
      </w:pPr>
      <w:bookmarkStart w:id="44" w:name="_Toc426386563"/>
      <w:r>
        <w:t xml:space="preserve">Table </w:t>
      </w:r>
      <w:r w:rsidR="00C23339">
        <w:fldChar w:fldCharType="begin"/>
      </w:r>
      <w:r w:rsidR="00134558">
        <w:instrText xml:space="preserve"> SEQ Table \* ARABIC </w:instrText>
      </w:r>
      <w:r w:rsidR="00C23339">
        <w:fldChar w:fldCharType="separate"/>
      </w:r>
      <w:r w:rsidR="00E00DC7">
        <w:rPr>
          <w:noProof/>
        </w:rPr>
        <w:t>11</w:t>
      </w:r>
      <w:r w:rsidR="00C23339">
        <w:rPr>
          <w:noProof/>
        </w:rPr>
        <w:fldChar w:fldCharType="end"/>
      </w:r>
      <w:r>
        <w:t>: Entitlement market prices and volumes</w:t>
      </w:r>
      <w:bookmarkEnd w:id="44"/>
    </w:p>
    <w:tbl>
      <w:tblPr>
        <w:tblW w:w="0" w:type="auto"/>
        <w:tblLayout w:type="fixed"/>
        <w:tblCellMar>
          <w:left w:w="28" w:type="dxa"/>
          <w:right w:w="28" w:type="dxa"/>
        </w:tblCellMar>
        <w:tblLook w:val="04A0"/>
      </w:tblPr>
      <w:tblGrid>
        <w:gridCol w:w="876"/>
        <w:gridCol w:w="911"/>
        <w:gridCol w:w="867"/>
        <w:gridCol w:w="744"/>
        <w:gridCol w:w="745"/>
        <w:gridCol w:w="745"/>
        <w:gridCol w:w="745"/>
        <w:gridCol w:w="754"/>
        <w:gridCol w:w="850"/>
        <w:gridCol w:w="850"/>
        <w:gridCol w:w="984"/>
      </w:tblGrid>
      <w:tr w:rsidR="00E873CF" w:rsidRPr="00147005" w:rsidTr="00EA394F">
        <w:trPr>
          <w:trHeight w:val="525"/>
        </w:trPr>
        <w:tc>
          <w:tcPr>
            <w:tcW w:w="2654" w:type="dxa"/>
            <w:gridSpan w:val="3"/>
            <w:tcBorders>
              <w:top w:val="nil"/>
              <w:left w:val="nil"/>
              <w:bottom w:val="nil"/>
              <w:right w:val="nil"/>
            </w:tcBorders>
            <w:shd w:val="clear" w:color="000000" w:fill="0093D0"/>
            <w:noWrap/>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3733" w:type="dxa"/>
            <w:gridSpan w:val="5"/>
            <w:tcBorders>
              <w:top w:val="nil"/>
              <w:left w:val="single" w:sz="4" w:space="0" w:color="C5D9F1"/>
              <w:bottom w:val="nil"/>
              <w:right w:val="single" w:sz="4" w:space="0" w:color="C5D9F1"/>
            </w:tcBorders>
            <w:shd w:val="clear" w:color="000000" w:fill="0093D0"/>
            <w:noWrap/>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E873CF" w:rsidRPr="00147005">
              <w:rPr>
                <w:rFonts w:eastAsia="Times New Roman"/>
                <w:b/>
                <w:bCs/>
                <w:color w:val="FFFFFF"/>
                <w:sz w:val="16"/>
                <w:szCs w:val="20"/>
                <w:lang w:eastAsia="en-AU"/>
              </w:rPr>
              <w:t xml:space="preserve"> 2015 Quarter (in $/ML)</w:t>
            </w:r>
          </w:p>
        </w:tc>
        <w:tc>
          <w:tcPr>
            <w:tcW w:w="850" w:type="dxa"/>
            <w:vMerge w:val="restart"/>
            <w:tcBorders>
              <w:top w:val="nil"/>
              <w:left w:val="single" w:sz="4" w:space="0" w:color="C5D9F1"/>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Volume</w:t>
            </w:r>
            <w:r w:rsidR="00E873CF">
              <w:rPr>
                <w:rFonts w:eastAsia="Times New Roman"/>
                <w:b/>
                <w:bCs/>
                <w:color w:val="FFFFFF"/>
                <w:sz w:val="16"/>
                <w:szCs w:val="20"/>
                <w:lang w:eastAsia="en-AU"/>
              </w:rPr>
              <w:t xml:space="preserve"> (ML)</w:t>
            </w:r>
          </w:p>
        </w:tc>
        <w:tc>
          <w:tcPr>
            <w:tcW w:w="850" w:type="dxa"/>
            <w:vMerge w:val="restart"/>
            <w:tcBorders>
              <w:top w:val="nil"/>
              <w:left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 of trades</w:t>
            </w:r>
          </w:p>
        </w:tc>
        <w:tc>
          <w:tcPr>
            <w:tcW w:w="984" w:type="dxa"/>
            <w:vMerge w:val="restart"/>
            <w:tcBorders>
              <w:top w:val="nil"/>
              <w:left w:val="nil"/>
              <w:right w:val="nil"/>
            </w:tcBorders>
            <w:shd w:val="clear" w:color="000000" w:fill="0093D0"/>
            <w:vAlign w:val="center"/>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E873CF" w:rsidRPr="00147005" w:rsidTr="00EA394F">
        <w:trPr>
          <w:trHeight w:val="552"/>
        </w:trPr>
        <w:tc>
          <w:tcPr>
            <w:tcW w:w="876"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911" w:type="dxa"/>
            <w:tcBorders>
              <w:top w:val="nil"/>
              <w:left w:val="nil"/>
              <w:bottom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w:t>
            </w:r>
          </w:p>
        </w:tc>
        <w:tc>
          <w:tcPr>
            <w:tcW w:w="867"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744" w:type="dxa"/>
            <w:tcBorders>
              <w:top w:val="nil"/>
              <w:left w:val="single" w:sz="4" w:space="0" w:color="C5D9F1"/>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745"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745"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745"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754" w:type="dxa"/>
            <w:tcBorders>
              <w:top w:val="nil"/>
              <w:left w:val="nil"/>
              <w:bottom w:val="nil"/>
              <w:right w:val="single" w:sz="4" w:space="0" w:color="C5D9F1"/>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850" w:type="dxa"/>
            <w:vMerge/>
            <w:tcBorders>
              <w:left w:val="single" w:sz="4" w:space="0" w:color="C5D9F1"/>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850" w:type="dxa"/>
            <w:vMerge/>
            <w:tcBorders>
              <w:left w:val="nil"/>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984" w:type="dxa"/>
            <w:vMerge/>
            <w:tcBorders>
              <w:left w:val="nil"/>
              <w:bottom w:val="nil"/>
              <w:right w:val="nil"/>
            </w:tcBorders>
          </w:tcPr>
          <w:p w:rsidR="00E873CF" w:rsidRPr="00147005" w:rsidRDefault="00E873CF" w:rsidP="00E873CF">
            <w:pPr>
              <w:spacing w:after="0" w:line="240" w:lineRule="auto"/>
              <w:rPr>
                <w:rFonts w:eastAsia="Times New Roman"/>
                <w:b/>
                <w:bCs/>
                <w:color w:val="FFFFFF"/>
                <w:sz w:val="16"/>
                <w:szCs w:val="20"/>
                <w:lang w:eastAsia="en-AU"/>
              </w:rPr>
            </w:pPr>
          </w:p>
        </w:tc>
      </w:tr>
      <w:tr w:rsidR="00AD02F7" w:rsidRPr="00147005" w:rsidTr="00EA394F">
        <w:trPr>
          <w:trHeight w:val="555"/>
        </w:trPr>
        <w:tc>
          <w:tcPr>
            <w:tcW w:w="876" w:type="dxa"/>
            <w:tcBorders>
              <w:top w:val="nil"/>
              <w:left w:val="nil"/>
              <w:bottom w:val="single" w:sz="4" w:space="0" w:color="0093D0"/>
              <w:right w:val="nil"/>
            </w:tcBorders>
            <w:shd w:val="clear" w:color="auto" w:fill="auto"/>
            <w:noWrap/>
            <w:vAlign w:val="center"/>
            <w:hideMark/>
          </w:tcPr>
          <w:p w:rsidR="00AD02F7" w:rsidRPr="00AD02F7" w:rsidRDefault="00AD02F7" w:rsidP="00AD02F7">
            <w:pPr>
              <w:spacing w:after="0" w:line="240" w:lineRule="auto"/>
              <w:jc w:val="center"/>
              <w:rPr>
                <w:rFonts w:eastAsia="Times New Roman"/>
                <w:b/>
                <w:bCs/>
                <w:color w:val="000000"/>
                <w:sz w:val="16"/>
                <w:szCs w:val="20"/>
                <w:lang w:eastAsia="en-AU"/>
              </w:rPr>
            </w:pPr>
            <w:r w:rsidRPr="00AD02F7">
              <w:rPr>
                <w:rFonts w:eastAsia="Times New Roman"/>
                <w:b/>
                <w:bCs/>
                <w:color w:val="000000"/>
                <w:sz w:val="16"/>
                <w:szCs w:val="20"/>
                <w:lang w:eastAsia="en-AU"/>
              </w:rPr>
              <w:t>1,208</w:t>
            </w:r>
          </w:p>
        </w:tc>
        <w:tc>
          <w:tcPr>
            <w:tcW w:w="911" w:type="dxa"/>
            <w:tcBorders>
              <w:top w:val="nil"/>
              <w:left w:val="nil"/>
              <w:bottom w:val="single" w:sz="4" w:space="0" w:color="0093D0"/>
              <w:right w:val="nil"/>
            </w:tcBorders>
            <w:shd w:val="clear" w:color="auto" w:fill="auto"/>
            <w:noWrap/>
            <w:vAlign w:val="center"/>
            <w:hideMark/>
          </w:tcPr>
          <w:p w:rsidR="00AD02F7" w:rsidRPr="00AD02F7" w:rsidRDefault="00AD02F7" w:rsidP="00AD02F7">
            <w:pPr>
              <w:spacing w:after="0" w:line="240" w:lineRule="auto"/>
              <w:jc w:val="center"/>
              <w:rPr>
                <w:rFonts w:eastAsia="Times New Roman"/>
                <w:b/>
                <w:bCs/>
                <w:color w:val="000000"/>
                <w:sz w:val="16"/>
                <w:szCs w:val="20"/>
                <w:lang w:eastAsia="en-AU"/>
              </w:rPr>
            </w:pPr>
            <w:r w:rsidRPr="00AD02F7">
              <w:rPr>
                <w:rFonts w:eastAsia="Times New Roman"/>
                <w:b/>
                <w:bCs/>
                <w:color w:val="000000"/>
                <w:sz w:val="16"/>
                <w:szCs w:val="20"/>
                <w:lang w:eastAsia="en-AU"/>
              </w:rPr>
              <w:t>1,099</w:t>
            </w:r>
          </w:p>
        </w:tc>
        <w:tc>
          <w:tcPr>
            <w:tcW w:w="867" w:type="dxa"/>
            <w:tcBorders>
              <w:top w:val="nil"/>
              <w:left w:val="nil"/>
              <w:bottom w:val="single" w:sz="4" w:space="0" w:color="0093D0"/>
              <w:right w:val="nil"/>
            </w:tcBorders>
            <w:shd w:val="clear" w:color="auto" w:fill="auto"/>
            <w:noWrap/>
            <w:vAlign w:val="center"/>
            <w:hideMark/>
          </w:tcPr>
          <w:p w:rsidR="00AD02F7" w:rsidRPr="00AD02F7" w:rsidRDefault="00AD02F7" w:rsidP="00AD02F7">
            <w:pPr>
              <w:spacing w:after="0" w:line="240" w:lineRule="auto"/>
              <w:jc w:val="center"/>
              <w:rPr>
                <w:rFonts w:eastAsia="Times New Roman"/>
                <w:b/>
                <w:bCs/>
                <w:color w:val="000000"/>
                <w:sz w:val="16"/>
                <w:szCs w:val="20"/>
                <w:lang w:eastAsia="en-AU"/>
              </w:rPr>
            </w:pPr>
            <w:r w:rsidRPr="00AD02F7">
              <w:rPr>
                <w:rFonts w:eastAsia="Times New Roman"/>
                <w:b/>
                <w:bCs/>
                <w:color w:val="000000"/>
                <w:sz w:val="16"/>
                <w:szCs w:val="20"/>
                <w:lang w:eastAsia="en-AU"/>
              </w:rPr>
              <w:t>1,037</w:t>
            </w:r>
          </w:p>
        </w:tc>
        <w:tc>
          <w:tcPr>
            <w:tcW w:w="744" w:type="dxa"/>
            <w:tcBorders>
              <w:top w:val="nil"/>
              <w:left w:val="nil"/>
              <w:bottom w:val="single" w:sz="4" w:space="0" w:color="0093D0"/>
              <w:right w:val="nil"/>
            </w:tcBorders>
            <w:shd w:val="clear" w:color="auto" w:fill="auto"/>
            <w:noWrap/>
            <w:vAlign w:val="center"/>
            <w:hideMark/>
          </w:tcPr>
          <w:p w:rsidR="00AD02F7" w:rsidRPr="00AD02F7" w:rsidRDefault="00AD02F7" w:rsidP="00AD02F7">
            <w:pPr>
              <w:spacing w:after="0" w:line="240" w:lineRule="auto"/>
              <w:jc w:val="center"/>
              <w:rPr>
                <w:rFonts w:eastAsia="Times New Roman"/>
                <w:b/>
                <w:bCs/>
                <w:color w:val="000000"/>
                <w:sz w:val="16"/>
                <w:szCs w:val="20"/>
                <w:lang w:eastAsia="en-AU"/>
              </w:rPr>
            </w:pPr>
            <w:r w:rsidRPr="00AD02F7">
              <w:rPr>
                <w:rFonts w:eastAsia="Times New Roman"/>
                <w:b/>
                <w:bCs/>
                <w:color w:val="000000"/>
                <w:sz w:val="16"/>
                <w:szCs w:val="20"/>
                <w:lang w:eastAsia="en-AU"/>
              </w:rPr>
              <w:t>1,033</w:t>
            </w:r>
          </w:p>
        </w:tc>
        <w:tc>
          <w:tcPr>
            <w:tcW w:w="745" w:type="dxa"/>
            <w:tcBorders>
              <w:top w:val="nil"/>
              <w:left w:val="nil"/>
              <w:bottom w:val="single" w:sz="4" w:space="0" w:color="0093D0"/>
              <w:right w:val="nil"/>
            </w:tcBorders>
            <w:shd w:val="clear" w:color="auto" w:fill="auto"/>
            <w:noWrap/>
            <w:vAlign w:val="center"/>
            <w:hideMark/>
          </w:tcPr>
          <w:p w:rsidR="00AD02F7" w:rsidRPr="00AD02F7" w:rsidRDefault="00AD02F7" w:rsidP="00AD02F7">
            <w:pPr>
              <w:spacing w:after="0" w:line="240" w:lineRule="auto"/>
              <w:jc w:val="center"/>
              <w:rPr>
                <w:rFonts w:eastAsia="Times New Roman"/>
                <w:b/>
                <w:bCs/>
                <w:color w:val="000000"/>
                <w:sz w:val="16"/>
                <w:szCs w:val="20"/>
                <w:lang w:eastAsia="en-AU"/>
              </w:rPr>
            </w:pPr>
            <w:r w:rsidRPr="00AD02F7">
              <w:rPr>
                <w:rFonts w:eastAsia="Times New Roman"/>
                <w:b/>
                <w:bCs/>
                <w:color w:val="000000"/>
                <w:sz w:val="16"/>
                <w:szCs w:val="20"/>
                <w:lang w:eastAsia="en-AU"/>
              </w:rPr>
              <w:t>1,200</w:t>
            </w:r>
          </w:p>
        </w:tc>
        <w:tc>
          <w:tcPr>
            <w:tcW w:w="745" w:type="dxa"/>
            <w:tcBorders>
              <w:top w:val="nil"/>
              <w:left w:val="nil"/>
              <w:bottom w:val="single" w:sz="4" w:space="0" w:color="0093D0"/>
              <w:right w:val="nil"/>
            </w:tcBorders>
            <w:shd w:val="clear" w:color="auto" w:fill="auto"/>
            <w:noWrap/>
            <w:vAlign w:val="center"/>
            <w:hideMark/>
          </w:tcPr>
          <w:p w:rsidR="00AD02F7" w:rsidRPr="00AD02F7" w:rsidRDefault="00AD02F7" w:rsidP="00AD02F7">
            <w:pPr>
              <w:spacing w:after="0" w:line="240" w:lineRule="auto"/>
              <w:jc w:val="center"/>
              <w:rPr>
                <w:rFonts w:eastAsia="Times New Roman"/>
                <w:b/>
                <w:bCs/>
                <w:color w:val="000000"/>
                <w:sz w:val="16"/>
                <w:szCs w:val="20"/>
                <w:lang w:eastAsia="en-AU"/>
              </w:rPr>
            </w:pPr>
            <w:r w:rsidRPr="00AD02F7">
              <w:rPr>
                <w:rFonts w:eastAsia="Times New Roman"/>
                <w:b/>
                <w:bCs/>
                <w:color w:val="000000"/>
                <w:sz w:val="16"/>
                <w:szCs w:val="20"/>
                <w:lang w:eastAsia="en-AU"/>
              </w:rPr>
              <w:t>1,114</w:t>
            </w:r>
          </w:p>
        </w:tc>
        <w:tc>
          <w:tcPr>
            <w:tcW w:w="745" w:type="dxa"/>
            <w:tcBorders>
              <w:top w:val="nil"/>
              <w:left w:val="nil"/>
              <w:bottom w:val="single" w:sz="4" w:space="0" w:color="0093D0"/>
              <w:right w:val="nil"/>
            </w:tcBorders>
            <w:shd w:val="clear" w:color="auto" w:fill="auto"/>
            <w:noWrap/>
            <w:vAlign w:val="center"/>
            <w:hideMark/>
          </w:tcPr>
          <w:p w:rsidR="00AD02F7" w:rsidRPr="00AD02F7" w:rsidRDefault="00AD02F7" w:rsidP="00AD02F7">
            <w:pPr>
              <w:spacing w:after="0" w:line="240" w:lineRule="auto"/>
              <w:jc w:val="center"/>
              <w:rPr>
                <w:rFonts w:eastAsia="Times New Roman"/>
                <w:b/>
                <w:bCs/>
                <w:color w:val="000000"/>
                <w:sz w:val="16"/>
                <w:szCs w:val="20"/>
                <w:lang w:eastAsia="en-AU"/>
              </w:rPr>
            </w:pPr>
            <w:r w:rsidRPr="00AD02F7">
              <w:rPr>
                <w:rFonts w:eastAsia="Times New Roman"/>
                <w:b/>
                <w:bCs/>
                <w:color w:val="000000"/>
                <w:sz w:val="16"/>
                <w:szCs w:val="20"/>
                <w:lang w:eastAsia="en-AU"/>
              </w:rPr>
              <w:t>1,102</w:t>
            </w:r>
          </w:p>
        </w:tc>
        <w:tc>
          <w:tcPr>
            <w:tcW w:w="754" w:type="dxa"/>
            <w:tcBorders>
              <w:top w:val="nil"/>
              <w:left w:val="nil"/>
              <w:bottom w:val="single" w:sz="4" w:space="0" w:color="0093D0"/>
              <w:right w:val="nil"/>
            </w:tcBorders>
            <w:shd w:val="clear" w:color="auto" w:fill="auto"/>
            <w:noWrap/>
            <w:vAlign w:val="center"/>
            <w:hideMark/>
          </w:tcPr>
          <w:p w:rsidR="00AD02F7" w:rsidRPr="00AD02F7" w:rsidRDefault="00AD02F7" w:rsidP="00AD02F7">
            <w:pPr>
              <w:spacing w:after="0" w:line="240" w:lineRule="auto"/>
              <w:jc w:val="center"/>
              <w:rPr>
                <w:rFonts w:eastAsia="Times New Roman"/>
                <w:b/>
                <w:bCs/>
                <w:color w:val="000000"/>
                <w:sz w:val="16"/>
                <w:szCs w:val="20"/>
                <w:lang w:eastAsia="en-AU"/>
              </w:rPr>
            </w:pPr>
            <w:r w:rsidRPr="00AD02F7">
              <w:rPr>
                <w:rFonts w:eastAsia="Times New Roman"/>
                <w:b/>
                <w:bCs/>
                <w:color w:val="000000"/>
                <w:sz w:val="16"/>
                <w:szCs w:val="20"/>
                <w:lang w:eastAsia="en-AU"/>
              </w:rPr>
              <w:t>1,200</w:t>
            </w:r>
          </w:p>
        </w:tc>
        <w:tc>
          <w:tcPr>
            <w:tcW w:w="850" w:type="dxa"/>
            <w:tcBorders>
              <w:top w:val="nil"/>
              <w:left w:val="nil"/>
              <w:bottom w:val="single" w:sz="4" w:space="0" w:color="0093D0"/>
              <w:right w:val="nil"/>
            </w:tcBorders>
            <w:shd w:val="clear" w:color="auto" w:fill="auto"/>
            <w:noWrap/>
            <w:vAlign w:val="center"/>
            <w:hideMark/>
          </w:tcPr>
          <w:p w:rsidR="00AD02F7" w:rsidRPr="00AD02F7" w:rsidRDefault="00AD02F7" w:rsidP="00AD02F7">
            <w:pPr>
              <w:spacing w:after="0" w:line="240" w:lineRule="auto"/>
              <w:jc w:val="center"/>
              <w:rPr>
                <w:rFonts w:eastAsia="Times New Roman"/>
                <w:b/>
                <w:bCs/>
                <w:color w:val="000000"/>
                <w:sz w:val="16"/>
                <w:szCs w:val="20"/>
                <w:lang w:eastAsia="en-AU"/>
              </w:rPr>
            </w:pPr>
            <w:r w:rsidRPr="00AD02F7">
              <w:rPr>
                <w:rFonts w:eastAsia="Times New Roman"/>
                <w:b/>
                <w:bCs/>
                <w:color w:val="000000"/>
                <w:sz w:val="16"/>
                <w:szCs w:val="20"/>
                <w:lang w:eastAsia="en-AU"/>
              </w:rPr>
              <w:t>1,116</w:t>
            </w:r>
          </w:p>
        </w:tc>
        <w:tc>
          <w:tcPr>
            <w:tcW w:w="850" w:type="dxa"/>
            <w:tcBorders>
              <w:top w:val="nil"/>
              <w:left w:val="nil"/>
              <w:bottom w:val="single" w:sz="4" w:space="0" w:color="0093D0"/>
              <w:right w:val="nil"/>
            </w:tcBorders>
            <w:shd w:val="clear" w:color="auto" w:fill="auto"/>
            <w:noWrap/>
            <w:vAlign w:val="center"/>
            <w:hideMark/>
          </w:tcPr>
          <w:p w:rsidR="00AD02F7" w:rsidRPr="00AD02F7" w:rsidRDefault="00AD02F7" w:rsidP="00AD02F7">
            <w:pPr>
              <w:spacing w:after="0" w:line="240" w:lineRule="auto"/>
              <w:jc w:val="center"/>
              <w:rPr>
                <w:rFonts w:eastAsia="Times New Roman"/>
                <w:b/>
                <w:bCs/>
                <w:color w:val="000000"/>
                <w:sz w:val="16"/>
                <w:szCs w:val="20"/>
                <w:lang w:eastAsia="en-AU"/>
              </w:rPr>
            </w:pPr>
            <w:r w:rsidRPr="00AD02F7">
              <w:rPr>
                <w:rFonts w:eastAsia="Times New Roman"/>
                <w:b/>
                <w:bCs/>
                <w:color w:val="000000"/>
                <w:sz w:val="16"/>
                <w:szCs w:val="20"/>
                <w:lang w:eastAsia="en-AU"/>
              </w:rPr>
              <w:t>15</w:t>
            </w:r>
          </w:p>
        </w:tc>
        <w:tc>
          <w:tcPr>
            <w:tcW w:w="984" w:type="dxa"/>
            <w:tcBorders>
              <w:top w:val="nil"/>
              <w:left w:val="nil"/>
              <w:bottom w:val="single" w:sz="4" w:space="0" w:color="0093D0"/>
              <w:right w:val="nil"/>
            </w:tcBorders>
            <w:vAlign w:val="center"/>
          </w:tcPr>
          <w:p w:rsidR="00AD02F7" w:rsidRPr="00147005" w:rsidRDefault="00AD02F7" w:rsidP="00AD02F7">
            <w:pPr>
              <w:spacing w:after="0" w:line="240" w:lineRule="auto"/>
              <w:jc w:val="center"/>
              <w:rPr>
                <w:rFonts w:eastAsia="Times New Roman"/>
                <w:b/>
                <w:bCs/>
                <w:color w:val="000000"/>
                <w:sz w:val="16"/>
                <w:szCs w:val="20"/>
                <w:lang w:eastAsia="en-AU"/>
              </w:rPr>
            </w:pPr>
            <w:r w:rsidRPr="00AD02F7">
              <w:rPr>
                <w:rFonts w:eastAsia="Times New Roman"/>
                <w:b/>
                <w:bCs/>
                <w:color w:val="000000"/>
                <w:sz w:val="16"/>
                <w:szCs w:val="20"/>
                <w:lang w:eastAsia="en-AU"/>
              </w:rPr>
              <w:t>975 – 1,500</w:t>
            </w:r>
          </w:p>
        </w:tc>
      </w:tr>
    </w:tbl>
    <w:p w:rsidR="00EE00DE" w:rsidRDefault="00EE00DE" w:rsidP="00EE00DE">
      <w:pPr>
        <w:pStyle w:val="MJAnormal"/>
      </w:pPr>
    </w:p>
    <w:p w:rsidR="00EE00DE" w:rsidRDefault="00EE00DE" w:rsidP="00EE00DE">
      <w:pPr>
        <w:pStyle w:val="Caption"/>
      </w:pPr>
      <w:bookmarkStart w:id="45" w:name="_Toc426386622"/>
      <w:r>
        <w:t xml:space="preserve">Figure </w:t>
      </w:r>
      <w:r w:rsidR="00C23339">
        <w:fldChar w:fldCharType="begin"/>
      </w:r>
      <w:r w:rsidR="00134558">
        <w:instrText xml:space="preserve"> SEQ Figure \* ARABIC </w:instrText>
      </w:r>
      <w:r w:rsidR="00C23339">
        <w:fldChar w:fldCharType="separate"/>
      </w:r>
      <w:r w:rsidR="00E00DC7">
        <w:rPr>
          <w:noProof/>
        </w:rPr>
        <w:t>22</w:t>
      </w:r>
      <w:r w:rsidR="00C23339">
        <w:rPr>
          <w:noProof/>
        </w:rPr>
        <w:fldChar w:fldCharType="end"/>
      </w:r>
      <w:r>
        <w:t>: Entitlement market price range by volume</w:t>
      </w:r>
      <w:bookmarkEnd w:id="45"/>
    </w:p>
    <w:p w:rsidR="00EE00DE" w:rsidRDefault="00AD02F7" w:rsidP="00EE00DE">
      <w:pPr>
        <w:pStyle w:val="MJAnormal"/>
      </w:pPr>
      <w:r>
        <w:rPr>
          <w:noProof/>
          <w:lang w:eastAsia="en-AU"/>
        </w:rPr>
        <w:drawing>
          <wp:inline distT="0" distB="0" distL="0" distR="0">
            <wp:extent cx="5760000" cy="207310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073101"/>
                    </a:xfrm>
                    <a:prstGeom prst="rect">
                      <a:avLst/>
                    </a:prstGeom>
                    <a:noFill/>
                  </pic:spPr>
                </pic:pic>
              </a:graphicData>
            </a:graphic>
          </wp:inline>
        </w:drawing>
      </w:r>
    </w:p>
    <w:p w:rsidR="00BF578C" w:rsidRDefault="00BF578C" w:rsidP="002D50B8">
      <w:pPr>
        <w:pStyle w:val="MJAsource"/>
        <w:rPr>
          <w:b/>
        </w:rPr>
      </w:pPr>
    </w:p>
    <w:p w:rsidR="00EE00DE" w:rsidRDefault="002D50B8" w:rsidP="002D50B8">
      <w:pPr>
        <w:pStyle w:val="MJAsource"/>
      </w:pPr>
      <w:r w:rsidRPr="00AE33C7">
        <w:rPr>
          <w:b/>
          <w:sz w:val="16"/>
          <w:szCs w:val="16"/>
        </w:rPr>
        <w:t xml:space="preserve">Data Sources: </w:t>
      </w:r>
      <w:r w:rsidRPr="00AE33C7">
        <w:rPr>
          <w:sz w:val="16"/>
          <w:szCs w:val="16"/>
        </w:rPr>
        <w:t>NSW</w:t>
      </w:r>
      <w:r w:rsidRPr="00F17E80">
        <w:rPr>
          <w:sz w:val="16"/>
        </w:rPr>
        <w:t xml:space="preserve"> Water Register (</w:t>
      </w:r>
      <w:hyperlink r:id="rId69" w:history="1">
        <w:r w:rsidRPr="00F17E80">
          <w:rPr>
            <w:sz w:val="16"/>
          </w:rPr>
          <w:t>http://registers.water.nsw.gov.au/wma/WaterShareIntraWSLocSearch.jsp?selectedRegister=WaterShare</w:t>
        </w:r>
      </w:hyperlink>
      <w:r w:rsidRPr="00F17E80">
        <w:rPr>
          <w:sz w:val="16"/>
        </w:rPr>
        <w:t xml:space="preserve">, http://www.water.nsw.gov.au/water-licensing/registers), National Water Exchange </w:t>
      </w:r>
      <w:r w:rsidR="000A37A8" w:rsidRPr="00F17E80">
        <w:rPr>
          <w:sz w:val="16"/>
        </w:rPr>
        <w:t>(</w:t>
      </w:r>
      <w:hyperlink r:id="rId70" w:history="1">
        <w:r w:rsidR="000A37A8" w:rsidRPr="00631B5E">
          <w:rPr>
            <w:rStyle w:val="Hyperlink"/>
            <w:sz w:val="16"/>
          </w:rPr>
          <w:t>www.waterexchange.com.au</w:t>
        </w:r>
      </w:hyperlink>
      <w:r w:rsidR="000A37A8" w:rsidRPr="00F17E80">
        <w:rPr>
          <w:sz w:val="16"/>
        </w:rPr>
        <w:t xml:space="preserve">), </w:t>
      </w:r>
      <w:proofErr w:type="spellStart"/>
      <w:r w:rsidR="000A37A8" w:rsidRPr="00F17E80">
        <w:rPr>
          <w:sz w:val="16"/>
        </w:rPr>
        <w:t>Waterfind</w:t>
      </w:r>
      <w:proofErr w:type="spellEnd"/>
      <w:r w:rsidR="000A37A8" w:rsidRPr="00F17E80">
        <w:rPr>
          <w:sz w:val="16"/>
        </w:rPr>
        <w:t xml:space="preserve"> (</w:t>
      </w:r>
      <w:hyperlink r:id="rId71" w:history="1">
        <w:r w:rsidR="000A37A8" w:rsidRPr="00F17E80">
          <w:rPr>
            <w:rStyle w:val="Hyperlink"/>
            <w:sz w:val="16"/>
          </w:rPr>
          <w:t>www.waterfind.com.au</w:t>
        </w:r>
      </w:hyperlink>
      <w:r w:rsidR="000A37A8" w:rsidRPr="00F17E80">
        <w:rPr>
          <w:sz w:val="16"/>
        </w:rPr>
        <w:t>)</w:t>
      </w:r>
      <w:r w:rsidR="000A37A8">
        <w:rPr>
          <w:sz w:val="16"/>
        </w:rPr>
        <w:t>, H2OX (</w:t>
      </w:r>
      <w:hyperlink r:id="rId72" w:history="1">
        <w:r w:rsidR="000A37A8" w:rsidRPr="00631B5E">
          <w:rPr>
            <w:rStyle w:val="Hyperlink"/>
            <w:sz w:val="16"/>
          </w:rPr>
          <w:t>www.h2ox.com</w:t>
        </w:r>
      </w:hyperlink>
      <w:r w:rsidR="000A37A8">
        <w:rPr>
          <w:sz w:val="16"/>
        </w:rPr>
        <w:t xml:space="preserve">) </w:t>
      </w:r>
      <w:r w:rsidR="00EE00DE">
        <w:br w:type="page"/>
      </w:r>
    </w:p>
    <w:p w:rsidR="00EE00DE" w:rsidRDefault="00EE00DE" w:rsidP="00EE00DE">
      <w:pPr>
        <w:pStyle w:val="MJAheading2"/>
      </w:pPr>
      <w:bookmarkStart w:id="46" w:name="_Toc441834753"/>
      <w:r>
        <w:t>NSW Murray: High Security</w:t>
      </w:r>
      <w:bookmarkEnd w:id="46"/>
    </w:p>
    <w:p w:rsidR="00EE00DE" w:rsidRDefault="00EE00DE" w:rsidP="00EE00DE">
      <w:pPr>
        <w:pStyle w:val="Caption"/>
      </w:pPr>
      <w:bookmarkStart w:id="47" w:name="_Toc426386623"/>
      <w:r>
        <w:t xml:space="preserve">Figure </w:t>
      </w:r>
      <w:r w:rsidR="00C23339">
        <w:fldChar w:fldCharType="begin"/>
      </w:r>
      <w:r w:rsidR="00134558">
        <w:instrText xml:space="preserve"> SEQ Figure \* ARABIC </w:instrText>
      </w:r>
      <w:r w:rsidR="00C23339">
        <w:fldChar w:fldCharType="separate"/>
      </w:r>
      <w:r w:rsidR="00E00DC7">
        <w:rPr>
          <w:noProof/>
        </w:rPr>
        <w:t>23</w:t>
      </w:r>
      <w:r w:rsidR="00C23339">
        <w:rPr>
          <w:noProof/>
        </w:rPr>
        <w:fldChar w:fldCharType="end"/>
      </w:r>
      <w:r>
        <w:t>: Entitlement market prices and volumes</w:t>
      </w:r>
      <w:bookmarkEnd w:id="47"/>
    </w:p>
    <w:p w:rsidR="00EE00DE" w:rsidRPr="00F06C8D" w:rsidRDefault="00F06C8D" w:rsidP="00F06C8D">
      <w:pPr>
        <w:pStyle w:val="MJAnormal"/>
      </w:pPr>
      <w:r w:rsidRPr="00F06C8D">
        <w:rPr>
          <w:noProof/>
          <w:lang w:eastAsia="en-AU"/>
        </w:rPr>
        <w:drawing>
          <wp:inline distT="0" distB="0" distL="0" distR="0">
            <wp:extent cx="5760000" cy="279056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EE00DE" w:rsidRPr="00F06C8D" w:rsidRDefault="00EE00DE" w:rsidP="00F06C8D">
      <w:pPr>
        <w:pStyle w:val="MJAnormal"/>
      </w:pPr>
    </w:p>
    <w:p w:rsidR="00EE00DE" w:rsidRDefault="00EE00DE" w:rsidP="00EE00DE">
      <w:pPr>
        <w:pStyle w:val="Caption"/>
      </w:pPr>
      <w:bookmarkStart w:id="48" w:name="_Toc426386565"/>
      <w:r>
        <w:t xml:space="preserve">Table </w:t>
      </w:r>
      <w:r w:rsidR="00C23339">
        <w:fldChar w:fldCharType="begin"/>
      </w:r>
      <w:r w:rsidR="00134558">
        <w:instrText xml:space="preserve"> SEQ Table \* ARABIC </w:instrText>
      </w:r>
      <w:r w:rsidR="00C23339">
        <w:fldChar w:fldCharType="separate"/>
      </w:r>
      <w:r w:rsidR="00E00DC7">
        <w:rPr>
          <w:noProof/>
        </w:rPr>
        <w:t>12</w:t>
      </w:r>
      <w:r w:rsidR="00C23339">
        <w:rPr>
          <w:noProof/>
        </w:rPr>
        <w:fldChar w:fldCharType="end"/>
      </w:r>
      <w:r>
        <w:t>: Entitlement market prices and volumes</w:t>
      </w:r>
      <w:bookmarkEnd w:id="48"/>
    </w:p>
    <w:tbl>
      <w:tblPr>
        <w:tblW w:w="5000" w:type="pct"/>
        <w:tblCellMar>
          <w:left w:w="28" w:type="dxa"/>
          <w:right w:w="28" w:type="dxa"/>
        </w:tblCellMar>
        <w:tblLook w:val="04A0"/>
      </w:tblPr>
      <w:tblGrid>
        <w:gridCol w:w="883"/>
        <w:gridCol w:w="917"/>
        <w:gridCol w:w="874"/>
        <w:gridCol w:w="748"/>
        <w:gridCol w:w="748"/>
        <w:gridCol w:w="748"/>
        <w:gridCol w:w="748"/>
        <w:gridCol w:w="761"/>
        <w:gridCol w:w="856"/>
        <w:gridCol w:w="856"/>
        <w:gridCol w:w="988"/>
      </w:tblGrid>
      <w:tr w:rsidR="00E873CF" w:rsidRPr="00147005" w:rsidTr="00F06C8D">
        <w:trPr>
          <w:trHeight w:val="525"/>
        </w:trPr>
        <w:tc>
          <w:tcPr>
            <w:tcW w:w="1464" w:type="pct"/>
            <w:gridSpan w:val="3"/>
            <w:tcBorders>
              <w:top w:val="nil"/>
              <w:left w:val="nil"/>
              <w:bottom w:val="nil"/>
              <w:right w:val="nil"/>
            </w:tcBorders>
            <w:shd w:val="clear" w:color="000000" w:fill="0093D0"/>
            <w:noWrap/>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56" w:type="pct"/>
            <w:gridSpan w:val="5"/>
            <w:tcBorders>
              <w:top w:val="nil"/>
              <w:left w:val="single" w:sz="4" w:space="0" w:color="C5D9F1"/>
              <w:bottom w:val="nil"/>
              <w:right w:val="single" w:sz="4" w:space="0" w:color="C5D9F1"/>
            </w:tcBorders>
            <w:shd w:val="clear" w:color="000000" w:fill="0093D0"/>
            <w:noWrap/>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E873CF" w:rsidRPr="00147005">
              <w:rPr>
                <w:rFonts w:eastAsia="Times New Roman"/>
                <w:b/>
                <w:bCs/>
                <w:color w:val="FFFFFF"/>
                <w:sz w:val="16"/>
                <w:szCs w:val="20"/>
                <w:lang w:eastAsia="en-AU"/>
              </w:rPr>
              <w:t xml:space="preserve"> 2015 Quarter (in $/ML)</w:t>
            </w:r>
          </w:p>
        </w:tc>
        <w:tc>
          <w:tcPr>
            <w:tcW w:w="469" w:type="pct"/>
            <w:vMerge w:val="restart"/>
            <w:tcBorders>
              <w:top w:val="nil"/>
              <w:left w:val="single" w:sz="4" w:space="0" w:color="C5D9F1"/>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Volume</w:t>
            </w:r>
            <w:r w:rsidR="00E873CF">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 of trades</w:t>
            </w:r>
          </w:p>
        </w:tc>
        <w:tc>
          <w:tcPr>
            <w:tcW w:w="542" w:type="pct"/>
            <w:vMerge w:val="restart"/>
            <w:tcBorders>
              <w:top w:val="nil"/>
              <w:left w:val="nil"/>
              <w:right w:val="nil"/>
            </w:tcBorders>
            <w:shd w:val="clear" w:color="000000" w:fill="0093D0"/>
            <w:vAlign w:val="center"/>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E873CF" w:rsidRPr="00147005" w:rsidTr="00A1357C">
        <w:trPr>
          <w:trHeight w:val="552"/>
        </w:trPr>
        <w:tc>
          <w:tcPr>
            <w:tcW w:w="483"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502" w:type="pct"/>
            <w:tcBorders>
              <w:top w:val="nil"/>
              <w:left w:val="nil"/>
              <w:bottom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w:t>
            </w:r>
          </w:p>
        </w:tc>
        <w:tc>
          <w:tcPr>
            <w:tcW w:w="478"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0" w:type="pct"/>
            <w:tcBorders>
              <w:top w:val="nil"/>
              <w:left w:val="single" w:sz="4" w:space="0" w:color="C5D9F1"/>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0"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0"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0"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7" w:type="pct"/>
            <w:tcBorders>
              <w:top w:val="nil"/>
              <w:left w:val="nil"/>
              <w:bottom w:val="nil"/>
              <w:right w:val="single" w:sz="4" w:space="0" w:color="C5D9F1"/>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543" w:type="pct"/>
            <w:vMerge/>
            <w:tcBorders>
              <w:left w:val="nil"/>
              <w:bottom w:val="nil"/>
              <w:right w:val="nil"/>
            </w:tcBorders>
          </w:tcPr>
          <w:p w:rsidR="00E873CF" w:rsidRPr="00147005" w:rsidRDefault="00E873CF" w:rsidP="00E873CF">
            <w:pPr>
              <w:spacing w:after="0" w:line="240" w:lineRule="auto"/>
              <w:rPr>
                <w:rFonts w:eastAsia="Times New Roman"/>
                <w:b/>
                <w:bCs/>
                <w:color w:val="FFFFFF"/>
                <w:sz w:val="16"/>
                <w:szCs w:val="20"/>
                <w:lang w:eastAsia="en-AU"/>
              </w:rPr>
            </w:pPr>
          </w:p>
        </w:tc>
      </w:tr>
      <w:tr w:rsidR="00F06C8D" w:rsidRPr="00147005" w:rsidTr="00A1357C">
        <w:trPr>
          <w:trHeight w:val="555"/>
        </w:trPr>
        <w:tc>
          <w:tcPr>
            <w:tcW w:w="483"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lang w:eastAsia="en-AU"/>
              </w:rPr>
            </w:pPr>
            <w:r>
              <w:rPr>
                <w:b/>
                <w:bCs/>
                <w:color w:val="000000"/>
                <w:sz w:val="16"/>
                <w:szCs w:val="16"/>
              </w:rPr>
              <w:t>2,921</w:t>
            </w:r>
          </w:p>
        </w:tc>
        <w:tc>
          <w:tcPr>
            <w:tcW w:w="502"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2,524</w:t>
            </w:r>
          </w:p>
        </w:tc>
        <w:tc>
          <w:tcPr>
            <w:tcW w:w="478"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2,502</w:t>
            </w:r>
          </w:p>
        </w:tc>
        <w:tc>
          <w:tcPr>
            <w:tcW w:w="410"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2,413</w:t>
            </w:r>
          </w:p>
        </w:tc>
        <w:tc>
          <w:tcPr>
            <w:tcW w:w="410"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2,845</w:t>
            </w:r>
          </w:p>
        </w:tc>
        <w:tc>
          <w:tcPr>
            <w:tcW w:w="410"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2,725</w:t>
            </w:r>
          </w:p>
        </w:tc>
        <w:tc>
          <w:tcPr>
            <w:tcW w:w="410"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2,619</w:t>
            </w:r>
          </w:p>
        </w:tc>
        <w:tc>
          <w:tcPr>
            <w:tcW w:w="417"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3,000</w:t>
            </w:r>
          </w:p>
        </w:tc>
        <w:tc>
          <w:tcPr>
            <w:tcW w:w="469"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2,652</w:t>
            </w:r>
          </w:p>
        </w:tc>
        <w:tc>
          <w:tcPr>
            <w:tcW w:w="469"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16</w:t>
            </w:r>
          </w:p>
        </w:tc>
        <w:tc>
          <w:tcPr>
            <w:tcW w:w="543" w:type="pct"/>
            <w:tcBorders>
              <w:top w:val="nil"/>
              <w:left w:val="nil"/>
              <w:bottom w:val="single" w:sz="4" w:space="0" w:color="0093D0"/>
              <w:right w:val="nil"/>
            </w:tcBorders>
            <w:vAlign w:val="center"/>
          </w:tcPr>
          <w:p w:rsidR="00F06C8D" w:rsidRPr="00147005" w:rsidRDefault="00F06C8D" w:rsidP="00F06C8D">
            <w:pPr>
              <w:spacing w:after="0" w:line="240" w:lineRule="auto"/>
              <w:jc w:val="center"/>
              <w:rPr>
                <w:rFonts w:eastAsia="Times New Roman"/>
                <w:b/>
                <w:bCs/>
                <w:color w:val="000000"/>
                <w:sz w:val="16"/>
                <w:szCs w:val="20"/>
                <w:lang w:eastAsia="en-AU"/>
              </w:rPr>
            </w:pPr>
            <w:r w:rsidRPr="00F06C8D">
              <w:rPr>
                <w:rFonts w:eastAsia="Times New Roman"/>
                <w:b/>
                <w:bCs/>
                <w:color w:val="000000"/>
                <w:sz w:val="16"/>
                <w:szCs w:val="20"/>
                <w:lang w:eastAsia="en-AU"/>
              </w:rPr>
              <w:t>2,750 – 3,300</w:t>
            </w:r>
          </w:p>
        </w:tc>
      </w:tr>
    </w:tbl>
    <w:p w:rsidR="00EE00DE" w:rsidRPr="003A4303" w:rsidRDefault="00EE00DE" w:rsidP="00EE00DE">
      <w:pPr>
        <w:pStyle w:val="MJAnormal"/>
        <w:rPr>
          <w:noProof/>
          <w:lang w:eastAsia="en-AU"/>
        </w:rPr>
      </w:pPr>
    </w:p>
    <w:p w:rsidR="00EE00DE" w:rsidRDefault="00EE00DE" w:rsidP="00EE00DE">
      <w:pPr>
        <w:pStyle w:val="Caption"/>
      </w:pPr>
      <w:bookmarkStart w:id="49" w:name="_Toc426386624"/>
      <w:r>
        <w:t xml:space="preserve">Figure </w:t>
      </w:r>
      <w:r w:rsidR="00C23339">
        <w:fldChar w:fldCharType="begin"/>
      </w:r>
      <w:r w:rsidR="00134558">
        <w:instrText xml:space="preserve"> SEQ Figure \* ARABIC </w:instrText>
      </w:r>
      <w:r w:rsidR="00C23339">
        <w:fldChar w:fldCharType="separate"/>
      </w:r>
      <w:r w:rsidR="00E00DC7">
        <w:rPr>
          <w:noProof/>
        </w:rPr>
        <w:t>24</w:t>
      </w:r>
      <w:r w:rsidR="00C23339">
        <w:rPr>
          <w:noProof/>
        </w:rPr>
        <w:fldChar w:fldCharType="end"/>
      </w:r>
      <w:r>
        <w:t>: Entitlement market price range by volume</w:t>
      </w:r>
      <w:bookmarkEnd w:id="49"/>
    </w:p>
    <w:p w:rsidR="00EE00DE" w:rsidRDefault="00F06C8D" w:rsidP="0012706F">
      <w:r>
        <w:rPr>
          <w:noProof/>
          <w:lang w:eastAsia="en-AU"/>
        </w:rPr>
        <w:drawing>
          <wp:inline distT="0" distB="0" distL="0" distR="0">
            <wp:extent cx="5760000" cy="207310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073101"/>
                    </a:xfrm>
                    <a:prstGeom prst="rect">
                      <a:avLst/>
                    </a:prstGeom>
                    <a:noFill/>
                  </pic:spPr>
                </pic:pic>
              </a:graphicData>
            </a:graphic>
          </wp:inline>
        </w:drawing>
      </w:r>
    </w:p>
    <w:p w:rsidR="00BF578C" w:rsidRDefault="00BF578C" w:rsidP="00EE00DE">
      <w:pPr>
        <w:tabs>
          <w:tab w:val="center" w:pos="4252"/>
        </w:tabs>
        <w:spacing w:after="0"/>
        <w:rPr>
          <w:b/>
          <w:i/>
          <w:sz w:val="18"/>
          <w:szCs w:val="18"/>
        </w:rPr>
      </w:pPr>
    </w:p>
    <w:p w:rsidR="00EE00DE" w:rsidRPr="000A37A8" w:rsidRDefault="002D50B8" w:rsidP="00EE00DE">
      <w:pPr>
        <w:tabs>
          <w:tab w:val="center" w:pos="4252"/>
        </w:tabs>
        <w:spacing w:after="0"/>
        <w:rPr>
          <w:rFonts w:eastAsiaTheme="minorHAnsi" w:cstheme="minorBidi"/>
          <w:i/>
          <w:sz w:val="16"/>
          <w:szCs w:val="18"/>
        </w:rPr>
      </w:pPr>
      <w:r w:rsidRPr="00AE33C7">
        <w:rPr>
          <w:b/>
          <w:i/>
          <w:sz w:val="16"/>
          <w:szCs w:val="18"/>
        </w:rPr>
        <w:t>Data Sources:</w:t>
      </w:r>
      <w:r w:rsidRPr="00AE33C7">
        <w:rPr>
          <w:b/>
          <w:sz w:val="20"/>
        </w:rPr>
        <w:t xml:space="preserve"> </w:t>
      </w:r>
      <w:r w:rsidRPr="00F17E80">
        <w:rPr>
          <w:rFonts w:eastAsiaTheme="minorHAnsi" w:cstheme="minorBidi"/>
          <w:i/>
          <w:sz w:val="16"/>
          <w:szCs w:val="18"/>
        </w:rPr>
        <w:t>NSW Water Register (</w:t>
      </w:r>
      <w:hyperlink r:id="rId75" w:history="1">
        <w:r w:rsidRPr="00F17E80">
          <w:rPr>
            <w:rFonts w:eastAsiaTheme="minorHAnsi" w:cstheme="minorBidi"/>
            <w:i/>
            <w:sz w:val="16"/>
            <w:szCs w:val="18"/>
          </w:rPr>
          <w:t>http://registers.water.nsw.gov.au/wma/WaterShareIntraWSLocSearch.jsp?selectedRegister=WaterShare</w:t>
        </w:r>
      </w:hyperlink>
      <w:r w:rsidRPr="00F17E80">
        <w:rPr>
          <w:rFonts w:eastAsiaTheme="minorHAnsi" w:cstheme="minorBidi"/>
          <w:i/>
          <w:sz w:val="16"/>
          <w:szCs w:val="18"/>
        </w:rPr>
        <w:t xml:space="preserve">, http://www.water.nsw.gov.au/water-licensing/registers), National Water </w:t>
      </w:r>
      <w:r w:rsidRPr="000A37A8">
        <w:rPr>
          <w:rFonts w:eastAsiaTheme="minorHAnsi" w:cstheme="minorBidi"/>
          <w:i/>
          <w:sz w:val="16"/>
          <w:szCs w:val="18"/>
        </w:rPr>
        <w:t xml:space="preserve">Exchange </w:t>
      </w:r>
      <w:r w:rsidR="000A37A8" w:rsidRPr="000A37A8">
        <w:rPr>
          <w:i/>
          <w:sz w:val="16"/>
        </w:rPr>
        <w:t>(</w:t>
      </w:r>
      <w:hyperlink r:id="rId76" w:history="1">
        <w:r w:rsidR="000A37A8" w:rsidRPr="000A37A8">
          <w:rPr>
            <w:rStyle w:val="Hyperlink"/>
            <w:i/>
            <w:sz w:val="16"/>
          </w:rPr>
          <w:t>www.waterexchange.com.au</w:t>
        </w:r>
      </w:hyperlink>
      <w:r w:rsidR="000A37A8" w:rsidRPr="000A37A8">
        <w:rPr>
          <w:i/>
          <w:sz w:val="16"/>
        </w:rPr>
        <w:t xml:space="preserve">), </w:t>
      </w:r>
      <w:proofErr w:type="spellStart"/>
      <w:r w:rsidR="000A37A8" w:rsidRPr="000A37A8">
        <w:rPr>
          <w:i/>
          <w:sz w:val="16"/>
        </w:rPr>
        <w:t>Waterfind</w:t>
      </w:r>
      <w:proofErr w:type="spellEnd"/>
      <w:r w:rsidR="000A37A8" w:rsidRPr="000A37A8">
        <w:rPr>
          <w:i/>
          <w:sz w:val="16"/>
        </w:rPr>
        <w:t xml:space="preserve"> (</w:t>
      </w:r>
      <w:hyperlink r:id="rId77" w:history="1">
        <w:r w:rsidR="000A37A8" w:rsidRPr="000A37A8">
          <w:rPr>
            <w:rStyle w:val="Hyperlink"/>
            <w:i/>
            <w:sz w:val="16"/>
          </w:rPr>
          <w:t>www.waterfind.com.au</w:t>
        </w:r>
      </w:hyperlink>
      <w:r w:rsidR="000A37A8" w:rsidRPr="000A37A8">
        <w:rPr>
          <w:i/>
          <w:sz w:val="16"/>
        </w:rPr>
        <w:t>), H2OX (</w:t>
      </w:r>
      <w:hyperlink r:id="rId78" w:history="1">
        <w:r w:rsidR="000A37A8" w:rsidRPr="000A37A8">
          <w:rPr>
            <w:rStyle w:val="Hyperlink"/>
            <w:i/>
            <w:sz w:val="16"/>
          </w:rPr>
          <w:t>www.h2ox.com</w:t>
        </w:r>
      </w:hyperlink>
      <w:r w:rsidR="000A37A8" w:rsidRPr="000A37A8">
        <w:rPr>
          <w:i/>
          <w:sz w:val="16"/>
        </w:rPr>
        <w:t>)</w:t>
      </w:r>
    </w:p>
    <w:p w:rsidR="00EE00DE" w:rsidRDefault="00EE00DE" w:rsidP="00EE00DE">
      <w:pPr>
        <w:tabs>
          <w:tab w:val="center" w:pos="4252"/>
        </w:tabs>
        <w:spacing w:after="0"/>
        <w:rPr>
          <w:sz w:val="18"/>
        </w:rPr>
      </w:pPr>
      <w:r>
        <w:rPr>
          <w:sz w:val="18"/>
        </w:rPr>
        <w:br w:type="page"/>
      </w:r>
    </w:p>
    <w:p w:rsidR="00EE00DE" w:rsidRDefault="00EE00DE" w:rsidP="00EE00DE">
      <w:pPr>
        <w:pStyle w:val="MJAheading2"/>
      </w:pPr>
      <w:bookmarkStart w:id="50" w:name="_Toc441834754"/>
      <w:r>
        <w:t>NSW Murray Irrigation Limited</w:t>
      </w:r>
      <w:bookmarkEnd w:id="50"/>
    </w:p>
    <w:p w:rsidR="00EE00DE" w:rsidRDefault="00EE00DE" w:rsidP="00EE00DE">
      <w:pPr>
        <w:pStyle w:val="Caption"/>
      </w:pPr>
      <w:bookmarkStart w:id="51" w:name="_Toc426386625"/>
      <w:r>
        <w:t xml:space="preserve">Figure </w:t>
      </w:r>
      <w:r w:rsidR="00C23339">
        <w:fldChar w:fldCharType="begin"/>
      </w:r>
      <w:r w:rsidR="00134558">
        <w:instrText xml:space="preserve"> SEQ Figure \* ARABIC </w:instrText>
      </w:r>
      <w:r w:rsidR="00C23339">
        <w:fldChar w:fldCharType="separate"/>
      </w:r>
      <w:r w:rsidR="00E00DC7">
        <w:rPr>
          <w:noProof/>
        </w:rPr>
        <w:t>25</w:t>
      </w:r>
      <w:r w:rsidR="00C23339">
        <w:rPr>
          <w:noProof/>
        </w:rPr>
        <w:fldChar w:fldCharType="end"/>
      </w:r>
      <w:r>
        <w:t>: Entitlement market prices and volumes</w:t>
      </w:r>
      <w:bookmarkEnd w:id="51"/>
    </w:p>
    <w:p w:rsidR="00EE00DE" w:rsidRDefault="00F06C8D" w:rsidP="00EE00DE">
      <w:pPr>
        <w:pStyle w:val="MJAnormal"/>
      </w:pPr>
      <w:r>
        <w:rPr>
          <w:noProof/>
          <w:lang w:eastAsia="en-AU"/>
        </w:rPr>
        <w:drawing>
          <wp:inline distT="0" distB="0" distL="0" distR="0">
            <wp:extent cx="5760000" cy="2790569"/>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EE00DE" w:rsidRPr="003A4303" w:rsidRDefault="00EE00DE" w:rsidP="00EE00DE">
      <w:pPr>
        <w:pStyle w:val="MJAnormal"/>
      </w:pPr>
    </w:p>
    <w:p w:rsidR="00EE00DE" w:rsidRDefault="00EE00DE" w:rsidP="00EE00DE">
      <w:pPr>
        <w:pStyle w:val="Caption"/>
      </w:pPr>
      <w:bookmarkStart w:id="52" w:name="_Toc426386567"/>
      <w:r>
        <w:t xml:space="preserve">Table </w:t>
      </w:r>
      <w:r w:rsidR="00C23339">
        <w:fldChar w:fldCharType="begin"/>
      </w:r>
      <w:r w:rsidR="00134558">
        <w:instrText xml:space="preserve"> SEQ Table \* ARABIC </w:instrText>
      </w:r>
      <w:r w:rsidR="00C23339">
        <w:fldChar w:fldCharType="separate"/>
      </w:r>
      <w:r w:rsidR="00E00DC7">
        <w:rPr>
          <w:noProof/>
        </w:rPr>
        <w:t>13</w:t>
      </w:r>
      <w:r w:rsidR="00C23339">
        <w:rPr>
          <w:noProof/>
        </w:rPr>
        <w:fldChar w:fldCharType="end"/>
      </w:r>
      <w:r>
        <w:t>: Entitlement market prices and volumes</w:t>
      </w:r>
      <w:bookmarkEnd w:id="52"/>
    </w:p>
    <w:tbl>
      <w:tblPr>
        <w:tblW w:w="5000" w:type="pct"/>
        <w:tblCellMar>
          <w:left w:w="28" w:type="dxa"/>
          <w:right w:w="28" w:type="dxa"/>
        </w:tblCellMar>
        <w:tblLook w:val="04A0"/>
      </w:tblPr>
      <w:tblGrid>
        <w:gridCol w:w="880"/>
        <w:gridCol w:w="918"/>
        <w:gridCol w:w="873"/>
        <w:gridCol w:w="750"/>
        <w:gridCol w:w="750"/>
        <w:gridCol w:w="750"/>
        <w:gridCol w:w="752"/>
        <w:gridCol w:w="756"/>
        <w:gridCol w:w="854"/>
        <w:gridCol w:w="856"/>
        <w:gridCol w:w="988"/>
      </w:tblGrid>
      <w:tr w:rsidR="00E873CF" w:rsidRPr="00147005" w:rsidTr="00F06C8D">
        <w:trPr>
          <w:trHeight w:val="525"/>
        </w:trPr>
        <w:tc>
          <w:tcPr>
            <w:tcW w:w="1463" w:type="pct"/>
            <w:gridSpan w:val="3"/>
            <w:tcBorders>
              <w:top w:val="nil"/>
              <w:left w:val="nil"/>
              <w:bottom w:val="nil"/>
              <w:right w:val="nil"/>
            </w:tcBorders>
            <w:shd w:val="clear" w:color="000000" w:fill="0093D0"/>
            <w:noWrap/>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59" w:type="pct"/>
            <w:gridSpan w:val="5"/>
            <w:tcBorders>
              <w:top w:val="nil"/>
              <w:left w:val="single" w:sz="4" w:space="0" w:color="C5D9F1"/>
              <w:bottom w:val="nil"/>
              <w:right w:val="single" w:sz="4" w:space="0" w:color="C5D9F1"/>
            </w:tcBorders>
            <w:shd w:val="clear" w:color="000000" w:fill="0093D0"/>
            <w:noWrap/>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E873CF" w:rsidRPr="00147005">
              <w:rPr>
                <w:rFonts w:eastAsia="Times New Roman"/>
                <w:b/>
                <w:bCs/>
                <w:color w:val="FFFFFF"/>
                <w:sz w:val="16"/>
                <w:szCs w:val="20"/>
                <w:lang w:eastAsia="en-AU"/>
              </w:rPr>
              <w:t xml:space="preserve"> 2015 Quarter (in $/ML)</w:t>
            </w:r>
          </w:p>
        </w:tc>
        <w:tc>
          <w:tcPr>
            <w:tcW w:w="468" w:type="pct"/>
            <w:vMerge w:val="restart"/>
            <w:tcBorders>
              <w:top w:val="nil"/>
              <w:left w:val="single" w:sz="4" w:space="0" w:color="C5D9F1"/>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Volume</w:t>
            </w:r>
            <w:r w:rsidR="00E873CF">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 of trades</w:t>
            </w:r>
          </w:p>
        </w:tc>
        <w:tc>
          <w:tcPr>
            <w:tcW w:w="541" w:type="pct"/>
            <w:vMerge w:val="restart"/>
            <w:tcBorders>
              <w:top w:val="nil"/>
              <w:left w:val="nil"/>
              <w:right w:val="nil"/>
            </w:tcBorders>
            <w:shd w:val="clear" w:color="000000" w:fill="0093D0"/>
            <w:vAlign w:val="center"/>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E873CF" w:rsidRPr="00147005" w:rsidTr="00A1357C">
        <w:trPr>
          <w:trHeight w:val="552"/>
        </w:trPr>
        <w:tc>
          <w:tcPr>
            <w:tcW w:w="482"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503" w:type="pct"/>
            <w:tcBorders>
              <w:top w:val="nil"/>
              <w:left w:val="nil"/>
              <w:bottom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w:t>
            </w:r>
          </w:p>
        </w:tc>
        <w:tc>
          <w:tcPr>
            <w:tcW w:w="478"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2"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4" w:type="pct"/>
            <w:tcBorders>
              <w:top w:val="nil"/>
              <w:left w:val="nil"/>
              <w:bottom w:val="nil"/>
              <w:right w:val="single" w:sz="4" w:space="0" w:color="C5D9F1"/>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8" w:type="pct"/>
            <w:vMerge/>
            <w:tcBorders>
              <w:left w:val="single" w:sz="4" w:space="0" w:color="C5D9F1"/>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542" w:type="pct"/>
            <w:vMerge/>
            <w:tcBorders>
              <w:left w:val="nil"/>
              <w:bottom w:val="nil"/>
              <w:right w:val="nil"/>
            </w:tcBorders>
          </w:tcPr>
          <w:p w:rsidR="00E873CF" w:rsidRPr="00147005" w:rsidRDefault="00E873CF" w:rsidP="00E873CF">
            <w:pPr>
              <w:spacing w:after="0" w:line="240" w:lineRule="auto"/>
              <w:rPr>
                <w:rFonts w:eastAsia="Times New Roman"/>
                <w:b/>
                <w:bCs/>
                <w:color w:val="FFFFFF"/>
                <w:sz w:val="16"/>
                <w:szCs w:val="20"/>
                <w:lang w:eastAsia="en-AU"/>
              </w:rPr>
            </w:pPr>
          </w:p>
        </w:tc>
      </w:tr>
      <w:tr w:rsidR="00F06C8D" w:rsidRPr="00147005" w:rsidTr="00A1357C">
        <w:trPr>
          <w:trHeight w:val="555"/>
        </w:trPr>
        <w:tc>
          <w:tcPr>
            <w:tcW w:w="482"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lang w:eastAsia="en-AU"/>
              </w:rPr>
            </w:pPr>
            <w:r>
              <w:rPr>
                <w:b/>
                <w:bCs/>
                <w:color w:val="000000"/>
                <w:sz w:val="16"/>
                <w:szCs w:val="16"/>
              </w:rPr>
              <w:t>1,075</w:t>
            </w:r>
          </w:p>
        </w:tc>
        <w:tc>
          <w:tcPr>
            <w:tcW w:w="503"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1,084</w:t>
            </w:r>
          </w:p>
        </w:tc>
        <w:tc>
          <w:tcPr>
            <w:tcW w:w="478"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1,013</w:t>
            </w:r>
          </w:p>
        </w:tc>
        <w:tc>
          <w:tcPr>
            <w:tcW w:w="411"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1,000</w:t>
            </w:r>
          </w:p>
        </w:tc>
        <w:tc>
          <w:tcPr>
            <w:tcW w:w="411"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1,150</w:t>
            </w:r>
          </w:p>
        </w:tc>
        <w:tc>
          <w:tcPr>
            <w:tcW w:w="411"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1,050</w:t>
            </w:r>
          </w:p>
        </w:tc>
        <w:tc>
          <w:tcPr>
            <w:tcW w:w="412"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1,059</w:t>
            </w:r>
          </w:p>
        </w:tc>
        <w:tc>
          <w:tcPr>
            <w:tcW w:w="414"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1,000</w:t>
            </w:r>
          </w:p>
        </w:tc>
        <w:tc>
          <w:tcPr>
            <w:tcW w:w="468"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9,105</w:t>
            </w:r>
          </w:p>
        </w:tc>
        <w:tc>
          <w:tcPr>
            <w:tcW w:w="469"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33</w:t>
            </w:r>
          </w:p>
        </w:tc>
        <w:tc>
          <w:tcPr>
            <w:tcW w:w="542" w:type="pct"/>
            <w:tcBorders>
              <w:top w:val="nil"/>
              <w:left w:val="nil"/>
              <w:bottom w:val="single" w:sz="4" w:space="0" w:color="0093D0"/>
              <w:right w:val="nil"/>
            </w:tcBorders>
            <w:vAlign w:val="center"/>
          </w:tcPr>
          <w:p w:rsidR="00F06C8D" w:rsidRPr="00147005" w:rsidRDefault="00F06C8D" w:rsidP="00F06C8D">
            <w:pPr>
              <w:spacing w:after="0" w:line="240" w:lineRule="auto"/>
              <w:jc w:val="center"/>
              <w:rPr>
                <w:rFonts w:eastAsia="Times New Roman"/>
                <w:b/>
                <w:bCs/>
                <w:color w:val="000000"/>
                <w:sz w:val="16"/>
                <w:szCs w:val="20"/>
                <w:lang w:eastAsia="en-AU"/>
              </w:rPr>
            </w:pPr>
            <w:r w:rsidRPr="00F06C8D">
              <w:rPr>
                <w:rFonts w:eastAsia="Times New Roman"/>
                <w:b/>
                <w:bCs/>
                <w:color w:val="000000"/>
                <w:sz w:val="16"/>
                <w:szCs w:val="20"/>
                <w:lang w:eastAsia="en-AU"/>
              </w:rPr>
              <w:t>850 – 1,250</w:t>
            </w:r>
          </w:p>
        </w:tc>
      </w:tr>
    </w:tbl>
    <w:p w:rsidR="00EE00DE" w:rsidRPr="003A4303" w:rsidRDefault="00EE00DE" w:rsidP="00EE00DE">
      <w:pPr>
        <w:pStyle w:val="MJAnormal"/>
      </w:pPr>
    </w:p>
    <w:p w:rsidR="00EE00DE" w:rsidRDefault="00EE00DE" w:rsidP="00EE00DE">
      <w:pPr>
        <w:pStyle w:val="Caption"/>
      </w:pPr>
      <w:bookmarkStart w:id="53" w:name="_Toc426386626"/>
      <w:r>
        <w:t xml:space="preserve">Figure </w:t>
      </w:r>
      <w:r w:rsidR="00C23339">
        <w:fldChar w:fldCharType="begin"/>
      </w:r>
      <w:r w:rsidR="00134558">
        <w:instrText xml:space="preserve"> SEQ Figure \* ARABIC </w:instrText>
      </w:r>
      <w:r w:rsidR="00C23339">
        <w:fldChar w:fldCharType="separate"/>
      </w:r>
      <w:r w:rsidR="00E00DC7">
        <w:rPr>
          <w:noProof/>
        </w:rPr>
        <w:t>26</w:t>
      </w:r>
      <w:r w:rsidR="00C23339">
        <w:rPr>
          <w:noProof/>
        </w:rPr>
        <w:fldChar w:fldCharType="end"/>
      </w:r>
      <w:r>
        <w:t>: Entitlement market price range by volume</w:t>
      </w:r>
      <w:bookmarkEnd w:id="53"/>
    </w:p>
    <w:p w:rsidR="00EE00DE" w:rsidRDefault="00F06C8D" w:rsidP="00EE00DE">
      <w:pPr>
        <w:pStyle w:val="MJAnormal"/>
      </w:pPr>
      <w:r>
        <w:rPr>
          <w:noProof/>
          <w:lang w:eastAsia="en-AU"/>
        </w:rPr>
        <w:drawing>
          <wp:inline distT="0" distB="0" distL="0" distR="0">
            <wp:extent cx="5760000" cy="207310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073101"/>
                    </a:xfrm>
                    <a:prstGeom prst="rect">
                      <a:avLst/>
                    </a:prstGeom>
                    <a:noFill/>
                  </pic:spPr>
                </pic:pic>
              </a:graphicData>
            </a:graphic>
          </wp:inline>
        </w:drawing>
      </w:r>
    </w:p>
    <w:p w:rsidR="00BF578C" w:rsidRDefault="00BF578C" w:rsidP="005C5BDE">
      <w:pPr>
        <w:pStyle w:val="MJAsource"/>
        <w:rPr>
          <w:b/>
          <w:sz w:val="16"/>
        </w:rPr>
      </w:pPr>
    </w:p>
    <w:p w:rsidR="005C5BDE" w:rsidRPr="005C5BDE" w:rsidRDefault="005C5BDE" w:rsidP="005C5BDE">
      <w:pPr>
        <w:pStyle w:val="MJAsource"/>
        <w:rPr>
          <w:sz w:val="16"/>
        </w:rPr>
      </w:pPr>
      <w:r w:rsidRPr="005C5BDE">
        <w:rPr>
          <w:b/>
          <w:sz w:val="16"/>
        </w:rPr>
        <w:t>Note:</w:t>
      </w:r>
      <w:r w:rsidRPr="005C5BDE">
        <w:rPr>
          <w:sz w:val="16"/>
        </w:rPr>
        <w:t xml:space="preserve"> Some trades which are outside two standard deviations of the average price of water entitlements have been included for this region.</w:t>
      </w:r>
    </w:p>
    <w:p w:rsidR="002D50B8" w:rsidRDefault="002D50B8" w:rsidP="002D50B8">
      <w:pPr>
        <w:pStyle w:val="MJAsource"/>
      </w:pPr>
      <w:r w:rsidRPr="00AE33C7">
        <w:rPr>
          <w:b/>
          <w:sz w:val="16"/>
        </w:rPr>
        <w:t>Data Sources:</w:t>
      </w:r>
      <w:r w:rsidRPr="00564276">
        <w:t xml:space="preserve"> </w:t>
      </w:r>
      <w:r w:rsidRPr="00564276">
        <w:rPr>
          <w:sz w:val="16"/>
        </w:rPr>
        <w:t>Murray Irrigation Limited (</w:t>
      </w:r>
      <w:hyperlink r:id="rId81" w:history="1">
        <w:r w:rsidR="000A37A8" w:rsidRPr="00631B5E">
          <w:rPr>
            <w:rStyle w:val="Hyperlink"/>
            <w:sz w:val="16"/>
          </w:rPr>
          <w:t>www.murrayirrigation.com.au</w:t>
        </w:r>
      </w:hyperlink>
      <w:r w:rsidRPr="00564276">
        <w:rPr>
          <w:sz w:val="16"/>
        </w:rPr>
        <w:t>)</w:t>
      </w:r>
      <w:r w:rsidR="000A37A8">
        <w:rPr>
          <w:sz w:val="16"/>
        </w:rPr>
        <w:t xml:space="preserve"> </w:t>
      </w:r>
    </w:p>
    <w:p w:rsidR="00EE00DE" w:rsidRPr="00D9199D" w:rsidRDefault="00EE00DE" w:rsidP="00EE00DE">
      <w:pPr>
        <w:tabs>
          <w:tab w:val="center" w:pos="4252"/>
        </w:tabs>
        <w:spacing w:after="0"/>
        <w:rPr>
          <w:sz w:val="18"/>
        </w:rPr>
      </w:pPr>
      <w:r w:rsidRPr="00564276">
        <w:rPr>
          <w:sz w:val="20"/>
        </w:rPr>
        <w:t xml:space="preserve"> </w:t>
      </w:r>
      <w:r w:rsidRPr="00D9199D">
        <w:rPr>
          <w:sz w:val="18"/>
        </w:rPr>
        <w:br w:type="page"/>
      </w:r>
    </w:p>
    <w:p w:rsidR="00105F72" w:rsidRDefault="00335904" w:rsidP="00EE00DE">
      <w:pPr>
        <w:pStyle w:val="MJAheading2"/>
      </w:pPr>
      <w:bookmarkStart w:id="54" w:name="_Toc441834755"/>
      <w:r w:rsidRPr="00EE00DE">
        <w:t>Murrumbidgee</w:t>
      </w:r>
      <w:r>
        <w:t>: General Security</w:t>
      </w:r>
      <w:bookmarkEnd w:id="54"/>
    </w:p>
    <w:p w:rsidR="00B16691" w:rsidRDefault="00B16691" w:rsidP="00B16691">
      <w:pPr>
        <w:pStyle w:val="Caption"/>
      </w:pPr>
      <w:bookmarkStart w:id="55" w:name="_Toc426386617"/>
      <w:r>
        <w:t xml:space="preserve">Figure </w:t>
      </w:r>
      <w:r w:rsidR="00C23339">
        <w:fldChar w:fldCharType="begin"/>
      </w:r>
      <w:r w:rsidR="00134558">
        <w:instrText xml:space="preserve"> SEQ Figure \* ARABIC </w:instrText>
      </w:r>
      <w:r w:rsidR="00C23339">
        <w:fldChar w:fldCharType="separate"/>
      </w:r>
      <w:r w:rsidR="00E00DC7">
        <w:rPr>
          <w:noProof/>
        </w:rPr>
        <w:t>27</w:t>
      </w:r>
      <w:r w:rsidR="00C23339">
        <w:rPr>
          <w:noProof/>
        </w:rPr>
        <w:fldChar w:fldCharType="end"/>
      </w:r>
      <w:r>
        <w:t>: Entitlement market prices and volumes</w:t>
      </w:r>
      <w:bookmarkEnd w:id="55"/>
    </w:p>
    <w:p w:rsidR="00B16691" w:rsidRPr="00F06C8D" w:rsidRDefault="00F06C8D" w:rsidP="00F06C8D">
      <w:pPr>
        <w:pStyle w:val="MJAnormal"/>
      </w:pPr>
      <w:r w:rsidRPr="00F06C8D">
        <w:rPr>
          <w:noProof/>
          <w:lang w:eastAsia="en-AU"/>
        </w:rPr>
        <w:drawing>
          <wp:inline distT="0" distB="0" distL="0" distR="0">
            <wp:extent cx="5760000" cy="2790569"/>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8136D8" w:rsidRPr="00F06C8D" w:rsidRDefault="008136D8" w:rsidP="00F06C8D">
      <w:pPr>
        <w:pStyle w:val="MJAnormal"/>
      </w:pPr>
    </w:p>
    <w:p w:rsidR="00B16691" w:rsidRDefault="00B16691" w:rsidP="00B16691">
      <w:pPr>
        <w:pStyle w:val="Caption"/>
      </w:pPr>
      <w:bookmarkStart w:id="56" w:name="_Toc426386559"/>
      <w:r>
        <w:t xml:space="preserve">Table </w:t>
      </w:r>
      <w:r w:rsidR="00C23339">
        <w:fldChar w:fldCharType="begin"/>
      </w:r>
      <w:r w:rsidR="00134558">
        <w:instrText xml:space="preserve"> SEQ Table \* ARABIC </w:instrText>
      </w:r>
      <w:r w:rsidR="00C23339">
        <w:fldChar w:fldCharType="separate"/>
      </w:r>
      <w:r w:rsidR="00E00DC7">
        <w:rPr>
          <w:noProof/>
        </w:rPr>
        <w:t>14</w:t>
      </w:r>
      <w:r w:rsidR="00C23339">
        <w:rPr>
          <w:noProof/>
        </w:rPr>
        <w:fldChar w:fldCharType="end"/>
      </w:r>
      <w:r>
        <w:t>: Entitlement market prices and volumes</w:t>
      </w:r>
      <w:bookmarkEnd w:id="56"/>
    </w:p>
    <w:tbl>
      <w:tblPr>
        <w:tblW w:w="5000" w:type="pct"/>
        <w:tblCellMar>
          <w:left w:w="28" w:type="dxa"/>
          <w:right w:w="28" w:type="dxa"/>
        </w:tblCellMar>
        <w:tblLook w:val="04A0"/>
      </w:tblPr>
      <w:tblGrid>
        <w:gridCol w:w="883"/>
        <w:gridCol w:w="917"/>
        <w:gridCol w:w="874"/>
        <w:gridCol w:w="748"/>
        <w:gridCol w:w="748"/>
        <w:gridCol w:w="748"/>
        <w:gridCol w:w="748"/>
        <w:gridCol w:w="761"/>
        <w:gridCol w:w="856"/>
        <w:gridCol w:w="856"/>
        <w:gridCol w:w="988"/>
      </w:tblGrid>
      <w:tr w:rsidR="00E873CF" w:rsidRPr="00147005" w:rsidTr="00F06C8D">
        <w:trPr>
          <w:trHeight w:val="525"/>
        </w:trPr>
        <w:tc>
          <w:tcPr>
            <w:tcW w:w="1464" w:type="pct"/>
            <w:gridSpan w:val="3"/>
            <w:tcBorders>
              <w:top w:val="nil"/>
              <w:left w:val="nil"/>
              <w:bottom w:val="nil"/>
              <w:right w:val="nil"/>
            </w:tcBorders>
            <w:shd w:val="clear" w:color="000000" w:fill="0093D0"/>
            <w:noWrap/>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56" w:type="pct"/>
            <w:gridSpan w:val="5"/>
            <w:tcBorders>
              <w:top w:val="nil"/>
              <w:left w:val="single" w:sz="4" w:space="0" w:color="C5D9F1"/>
              <w:bottom w:val="nil"/>
              <w:right w:val="single" w:sz="4" w:space="0" w:color="C5D9F1"/>
            </w:tcBorders>
            <w:shd w:val="clear" w:color="000000" w:fill="0093D0"/>
            <w:noWrap/>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E873CF" w:rsidRPr="00147005">
              <w:rPr>
                <w:rFonts w:eastAsia="Times New Roman"/>
                <w:b/>
                <w:bCs/>
                <w:color w:val="FFFFFF"/>
                <w:sz w:val="16"/>
                <w:szCs w:val="20"/>
                <w:lang w:eastAsia="en-AU"/>
              </w:rPr>
              <w:t xml:space="preserve"> 2015 Quarter (in $/ML)</w:t>
            </w:r>
          </w:p>
        </w:tc>
        <w:tc>
          <w:tcPr>
            <w:tcW w:w="469" w:type="pct"/>
            <w:vMerge w:val="restart"/>
            <w:tcBorders>
              <w:top w:val="nil"/>
              <w:left w:val="single" w:sz="4" w:space="0" w:color="C5D9F1"/>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Volume</w:t>
            </w:r>
            <w:r w:rsidR="00E873CF">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 of trades</w:t>
            </w:r>
          </w:p>
        </w:tc>
        <w:tc>
          <w:tcPr>
            <w:tcW w:w="542" w:type="pct"/>
            <w:vMerge w:val="restart"/>
            <w:tcBorders>
              <w:top w:val="nil"/>
              <w:left w:val="nil"/>
              <w:right w:val="nil"/>
            </w:tcBorders>
            <w:shd w:val="clear" w:color="000000" w:fill="0093D0"/>
            <w:vAlign w:val="center"/>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E873CF" w:rsidRPr="00147005" w:rsidTr="00A1357C">
        <w:trPr>
          <w:trHeight w:val="552"/>
        </w:trPr>
        <w:tc>
          <w:tcPr>
            <w:tcW w:w="483"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502" w:type="pct"/>
            <w:tcBorders>
              <w:top w:val="nil"/>
              <w:left w:val="nil"/>
              <w:bottom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w:t>
            </w:r>
          </w:p>
        </w:tc>
        <w:tc>
          <w:tcPr>
            <w:tcW w:w="478"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0" w:type="pct"/>
            <w:tcBorders>
              <w:top w:val="nil"/>
              <w:left w:val="single" w:sz="4" w:space="0" w:color="C5D9F1"/>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0"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0"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0"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7" w:type="pct"/>
            <w:tcBorders>
              <w:top w:val="nil"/>
              <w:left w:val="nil"/>
              <w:bottom w:val="nil"/>
              <w:right w:val="single" w:sz="4" w:space="0" w:color="C5D9F1"/>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543" w:type="pct"/>
            <w:vMerge/>
            <w:tcBorders>
              <w:left w:val="nil"/>
              <w:bottom w:val="nil"/>
              <w:right w:val="nil"/>
            </w:tcBorders>
          </w:tcPr>
          <w:p w:rsidR="00E873CF" w:rsidRPr="00147005" w:rsidRDefault="00E873CF" w:rsidP="00E873CF">
            <w:pPr>
              <w:spacing w:after="0" w:line="240" w:lineRule="auto"/>
              <w:rPr>
                <w:rFonts w:eastAsia="Times New Roman"/>
                <w:b/>
                <w:bCs/>
                <w:color w:val="FFFFFF"/>
                <w:sz w:val="16"/>
                <w:szCs w:val="20"/>
                <w:lang w:eastAsia="en-AU"/>
              </w:rPr>
            </w:pPr>
          </w:p>
        </w:tc>
      </w:tr>
      <w:tr w:rsidR="00F06C8D" w:rsidRPr="00147005" w:rsidTr="00A1357C">
        <w:trPr>
          <w:trHeight w:val="555"/>
        </w:trPr>
        <w:tc>
          <w:tcPr>
            <w:tcW w:w="483"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lang w:eastAsia="en-AU"/>
              </w:rPr>
            </w:pPr>
            <w:r>
              <w:rPr>
                <w:b/>
                <w:bCs/>
                <w:color w:val="000000"/>
                <w:sz w:val="16"/>
                <w:szCs w:val="16"/>
              </w:rPr>
              <w:t>1,392</w:t>
            </w:r>
          </w:p>
        </w:tc>
        <w:tc>
          <w:tcPr>
            <w:tcW w:w="502"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1,398</w:t>
            </w:r>
          </w:p>
        </w:tc>
        <w:tc>
          <w:tcPr>
            <w:tcW w:w="478"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1,269</w:t>
            </w:r>
          </w:p>
        </w:tc>
        <w:tc>
          <w:tcPr>
            <w:tcW w:w="410"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1,300</w:t>
            </w:r>
          </w:p>
        </w:tc>
        <w:tc>
          <w:tcPr>
            <w:tcW w:w="410"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1,413</w:t>
            </w:r>
          </w:p>
        </w:tc>
        <w:tc>
          <w:tcPr>
            <w:tcW w:w="410"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1,363</w:t>
            </w:r>
          </w:p>
        </w:tc>
        <w:tc>
          <w:tcPr>
            <w:tcW w:w="410"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1,349</w:t>
            </w:r>
          </w:p>
        </w:tc>
        <w:tc>
          <w:tcPr>
            <w:tcW w:w="417"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1,340</w:t>
            </w:r>
          </w:p>
        </w:tc>
        <w:tc>
          <w:tcPr>
            <w:tcW w:w="469"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11,909</w:t>
            </w:r>
          </w:p>
        </w:tc>
        <w:tc>
          <w:tcPr>
            <w:tcW w:w="469"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16</w:t>
            </w:r>
          </w:p>
        </w:tc>
        <w:tc>
          <w:tcPr>
            <w:tcW w:w="543" w:type="pct"/>
            <w:tcBorders>
              <w:top w:val="nil"/>
              <w:left w:val="nil"/>
              <w:bottom w:val="single" w:sz="4" w:space="0" w:color="0093D0"/>
              <w:right w:val="nil"/>
            </w:tcBorders>
            <w:vAlign w:val="center"/>
          </w:tcPr>
          <w:p w:rsidR="00F06C8D" w:rsidRPr="00147005" w:rsidRDefault="00F06C8D" w:rsidP="00F06C8D">
            <w:pPr>
              <w:spacing w:after="0" w:line="240" w:lineRule="auto"/>
              <w:jc w:val="center"/>
              <w:rPr>
                <w:rFonts w:eastAsia="Times New Roman"/>
                <w:b/>
                <w:bCs/>
                <w:color w:val="000000"/>
                <w:sz w:val="16"/>
                <w:szCs w:val="20"/>
                <w:lang w:eastAsia="en-AU"/>
              </w:rPr>
            </w:pPr>
            <w:r w:rsidRPr="00F06C8D">
              <w:rPr>
                <w:rFonts w:eastAsia="Times New Roman"/>
                <w:b/>
                <w:bCs/>
                <w:color w:val="000000"/>
                <w:sz w:val="16"/>
                <w:szCs w:val="20"/>
                <w:lang w:eastAsia="en-AU"/>
              </w:rPr>
              <w:t>1,300 – 1,650</w:t>
            </w:r>
          </w:p>
        </w:tc>
      </w:tr>
    </w:tbl>
    <w:p w:rsidR="003A4303" w:rsidRPr="008136D8" w:rsidRDefault="003A4303" w:rsidP="008136D8">
      <w:pPr>
        <w:pStyle w:val="MJAnormal"/>
      </w:pPr>
    </w:p>
    <w:p w:rsidR="00B16691" w:rsidRDefault="00B16691" w:rsidP="00B16691">
      <w:pPr>
        <w:pStyle w:val="Caption"/>
      </w:pPr>
      <w:bookmarkStart w:id="57" w:name="_Toc426386618"/>
      <w:r>
        <w:t xml:space="preserve">Figure </w:t>
      </w:r>
      <w:r w:rsidR="00C23339">
        <w:fldChar w:fldCharType="begin"/>
      </w:r>
      <w:r w:rsidR="00134558">
        <w:instrText xml:space="preserve"> SEQ Figure \* ARABIC </w:instrText>
      </w:r>
      <w:r w:rsidR="00C23339">
        <w:fldChar w:fldCharType="separate"/>
      </w:r>
      <w:r w:rsidR="00E00DC7">
        <w:rPr>
          <w:noProof/>
        </w:rPr>
        <w:t>28</w:t>
      </w:r>
      <w:r w:rsidR="00C23339">
        <w:rPr>
          <w:noProof/>
        </w:rPr>
        <w:fldChar w:fldCharType="end"/>
      </w:r>
      <w:r>
        <w:t>: Entitlement market price range by volume</w:t>
      </w:r>
      <w:bookmarkEnd w:id="57"/>
    </w:p>
    <w:p w:rsidR="00A45B35" w:rsidRPr="00A45B35" w:rsidRDefault="00F06C8D" w:rsidP="00A45B35">
      <w:r>
        <w:rPr>
          <w:noProof/>
          <w:lang w:eastAsia="en-AU"/>
        </w:rPr>
        <w:drawing>
          <wp:inline distT="0" distB="0" distL="0" distR="0">
            <wp:extent cx="5760000" cy="207310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073101"/>
                    </a:xfrm>
                    <a:prstGeom prst="rect">
                      <a:avLst/>
                    </a:prstGeom>
                    <a:noFill/>
                  </pic:spPr>
                </pic:pic>
              </a:graphicData>
            </a:graphic>
          </wp:inline>
        </w:drawing>
      </w:r>
    </w:p>
    <w:p w:rsidR="001E1768" w:rsidRPr="001E1768" w:rsidRDefault="001E1768" w:rsidP="001E1768">
      <w:pPr>
        <w:pStyle w:val="MJAsource"/>
        <w:rPr>
          <w:b/>
        </w:rPr>
      </w:pPr>
    </w:p>
    <w:p w:rsidR="006543FE" w:rsidRPr="002D50B8" w:rsidRDefault="002D50B8" w:rsidP="002D50B8">
      <w:pPr>
        <w:pStyle w:val="MJAsource"/>
      </w:pPr>
      <w:r w:rsidRPr="00074B0E">
        <w:rPr>
          <w:b/>
          <w:sz w:val="16"/>
          <w:szCs w:val="16"/>
        </w:rPr>
        <w:t>Data Sources:</w:t>
      </w:r>
      <w:r w:rsidRPr="002D50B8">
        <w:t xml:space="preserve"> </w:t>
      </w:r>
      <w:r w:rsidRPr="00F17E80">
        <w:rPr>
          <w:sz w:val="16"/>
        </w:rPr>
        <w:t>NSW Water Register (</w:t>
      </w:r>
      <w:hyperlink r:id="rId84" w:history="1">
        <w:r w:rsidRPr="00F17E80">
          <w:rPr>
            <w:sz w:val="16"/>
          </w:rPr>
          <w:t>http://registers.water.nsw.gov.au/wma/WaterShareIntraWSLocSearch.jsp?selectedRegister=WaterShare</w:t>
        </w:r>
      </w:hyperlink>
      <w:r w:rsidRPr="00F17E80">
        <w:rPr>
          <w:sz w:val="16"/>
        </w:rPr>
        <w:t xml:space="preserve">, http://www.water.nsw.gov.au/water-licensing/registers), National Water Exchange </w:t>
      </w:r>
      <w:r w:rsidR="000A37A8" w:rsidRPr="00F17E80">
        <w:rPr>
          <w:sz w:val="16"/>
        </w:rPr>
        <w:t>(</w:t>
      </w:r>
      <w:hyperlink r:id="rId85" w:history="1">
        <w:r w:rsidR="000A37A8" w:rsidRPr="00631B5E">
          <w:rPr>
            <w:rStyle w:val="Hyperlink"/>
            <w:sz w:val="16"/>
          </w:rPr>
          <w:t>www.waterexchange.com.au</w:t>
        </w:r>
      </w:hyperlink>
      <w:r w:rsidR="000A37A8" w:rsidRPr="00F17E80">
        <w:rPr>
          <w:sz w:val="16"/>
        </w:rPr>
        <w:t xml:space="preserve">), </w:t>
      </w:r>
      <w:proofErr w:type="spellStart"/>
      <w:r w:rsidR="000A37A8" w:rsidRPr="00F17E80">
        <w:rPr>
          <w:sz w:val="16"/>
        </w:rPr>
        <w:t>Waterfind</w:t>
      </w:r>
      <w:proofErr w:type="spellEnd"/>
      <w:r w:rsidR="000A37A8" w:rsidRPr="00F17E80">
        <w:rPr>
          <w:sz w:val="16"/>
        </w:rPr>
        <w:t xml:space="preserve"> (</w:t>
      </w:r>
      <w:hyperlink r:id="rId86" w:history="1">
        <w:r w:rsidR="000A37A8" w:rsidRPr="00F17E80">
          <w:rPr>
            <w:rStyle w:val="Hyperlink"/>
            <w:sz w:val="16"/>
          </w:rPr>
          <w:t>www.waterfind.com.au</w:t>
        </w:r>
      </w:hyperlink>
      <w:r w:rsidR="000A37A8" w:rsidRPr="00F17E80">
        <w:rPr>
          <w:sz w:val="16"/>
        </w:rPr>
        <w:t>)</w:t>
      </w:r>
      <w:r w:rsidR="000A37A8">
        <w:rPr>
          <w:sz w:val="16"/>
        </w:rPr>
        <w:t>, H2OX (</w:t>
      </w:r>
      <w:hyperlink r:id="rId87" w:history="1">
        <w:r w:rsidR="000A37A8" w:rsidRPr="00631B5E">
          <w:rPr>
            <w:rStyle w:val="Hyperlink"/>
            <w:sz w:val="16"/>
          </w:rPr>
          <w:t>www.h2ox.com</w:t>
        </w:r>
      </w:hyperlink>
      <w:r w:rsidR="000A37A8">
        <w:rPr>
          <w:sz w:val="16"/>
        </w:rPr>
        <w:t>)</w:t>
      </w:r>
    </w:p>
    <w:p w:rsidR="003A4303" w:rsidRDefault="003A4303">
      <w:pPr>
        <w:rPr>
          <w:sz w:val="18"/>
        </w:rPr>
      </w:pPr>
      <w:r>
        <w:rPr>
          <w:sz w:val="18"/>
        </w:rPr>
        <w:br w:type="page"/>
      </w:r>
    </w:p>
    <w:p w:rsidR="003A4303" w:rsidRDefault="003A4303" w:rsidP="00EE00DE">
      <w:pPr>
        <w:pStyle w:val="MJAheading2"/>
      </w:pPr>
      <w:bookmarkStart w:id="58" w:name="_Toc441834756"/>
      <w:r>
        <w:t>Murrumbidgee: High Security</w:t>
      </w:r>
      <w:bookmarkEnd w:id="58"/>
    </w:p>
    <w:p w:rsidR="003A4303" w:rsidRDefault="003A4303" w:rsidP="003A4303">
      <w:pPr>
        <w:pStyle w:val="Caption"/>
      </w:pPr>
      <w:bookmarkStart w:id="59" w:name="_Toc426386619"/>
      <w:r>
        <w:t xml:space="preserve">Figure </w:t>
      </w:r>
      <w:r w:rsidR="00C23339">
        <w:fldChar w:fldCharType="begin"/>
      </w:r>
      <w:r w:rsidR="00134558">
        <w:instrText xml:space="preserve"> SEQ Figure \* ARABIC </w:instrText>
      </w:r>
      <w:r w:rsidR="00C23339">
        <w:fldChar w:fldCharType="separate"/>
      </w:r>
      <w:r w:rsidR="00E00DC7">
        <w:rPr>
          <w:noProof/>
        </w:rPr>
        <w:t>29</w:t>
      </w:r>
      <w:r w:rsidR="00C23339">
        <w:rPr>
          <w:noProof/>
        </w:rPr>
        <w:fldChar w:fldCharType="end"/>
      </w:r>
      <w:r>
        <w:t>: Entitlement market prices and volumes</w:t>
      </w:r>
      <w:bookmarkEnd w:id="59"/>
    </w:p>
    <w:p w:rsidR="003A4303" w:rsidRDefault="00F06C8D" w:rsidP="008136D8">
      <w:pPr>
        <w:pStyle w:val="MJAnormal"/>
      </w:pPr>
      <w:r>
        <w:rPr>
          <w:noProof/>
          <w:lang w:eastAsia="en-AU"/>
        </w:rPr>
        <w:drawing>
          <wp:inline distT="0" distB="0" distL="0" distR="0">
            <wp:extent cx="5760000" cy="2790569"/>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3A4303" w:rsidRPr="003A4303" w:rsidRDefault="003A4303" w:rsidP="008136D8">
      <w:pPr>
        <w:pStyle w:val="MJAnormal"/>
      </w:pPr>
    </w:p>
    <w:p w:rsidR="003A4303" w:rsidRDefault="003A4303" w:rsidP="003A4303">
      <w:pPr>
        <w:pStyle w:val="Caption"/>
      </w:pPr>
      <w:bookmarkStart w:id="60" w:name="_Toc426386561"/>
      <w:r>
        <w:t xml:space="preserve">Table </w:t>
      </w:r>
      <w:r w:rsidR="00C23339">
        <w:fldChar w:fldCharType="begin"/>
      </w:r>
      <w:r w:rsidR="00134558">
        <w:instrText xml:space="preserve"> SEQ Table \* ARABIC </w:instrText>
      </w:r>
      <w:r w:rsidR="00C23339">
        <w:fldChar w:fldCharType="separate"/>
      </w:r>
      <w:r w:rsidR="00E00DC7">
        <w:rPr>
          <w:noProof/>
        </w:rPr>
        <w:t>15</w:t>
      </w:r>
      <w:r w:rsidR="00C23339">
        <w:rPr>
          <w:noProof/>
        </w:rPr>
        <w:fldChar w:fldCharType="end"/>
      </w:r>
      <w:r>
        <w:t>: Entitlement market prices and volumes</w:t>
      </w:r>
      <w:bookmarkEnd w:id="60"/>
    </w:p>
    <w:tbl>
      <w:tblPr>
        <w:tblW w:w="5000" w:type="pct"/>
        <w:tblCellMar>
          <w:left w:w="28" w:type="dxa"/>
          <w:right w:w="28" w:type="dxa"/>
        </w:tblCellMar>
        <w:tblLook w:val="04A0"/>
      </w:tblPr>
      <w:tblGrid>
        <w:gridCol w:w="883"/>
        <w:gridCol w:w="917"/>
        <w:gridCol w:w="874"/>
        <w:gridCol w:w="748"/>
        <w:gridCol w:w="748"/>
        <w:gridCol w:w="748"/>
        <w:gridCol w:w="748"/>
        <w:gridCol w:w="761"/>
        <w:gridCol w:w="856"/>
        <w:gridCol w:w="856"/>
        <w:gridCol w:w="988"/>
      </w:tblGrid>
      <w:tr w:rsidR="00E873CF" w:rsidRPr="00147005" w:rsidTr="00F06C8D">
        <w:trPr>
          <w:trHeight w:val="525"/>
        </w:trPr>
        <w:tc>
          <w:tcPr>
            <w:tcW w:w="1464" w:type="pct"/>
            <w:gridSpan w:val="3"/>
            <w:tcBorders>
              <w:top w:val="nil"/>
              <w:left w:val="nil"/>
              <w:bottom w:val="nil"/>
              <w:right w:val="nil"/>
            </w:tcBorders>
            <w:shd w:val="clear" w:color="000000" w:fill="0093D0"/>
            <w:noWrap/>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56" w:type="pct"/>
            <w:gridSpan w:val="5"/>
            <w:tcBorders>
              <w:top w:val="nil"/>
              <w:left w:val="single" w:sz="4" w:space="0" w:color="C5D9F1"/>
              <w:bottom w:val="nil"/>
              <w:right w:val="single" w:sz="4" w:space="0" w:color="C5D9F1"/>
            </w:tcBorders>
            <w:shd w:val="clear" w:color="000000" w:fill="0093D0"/>
            <w:noWrap/>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E873CF" w:rsidRPr="00147005">
              <w:rPr>
                <w:rFonts w:eastAsia="Times New Roman"/>
                <w:b/>
                <w:bCs/>
                <w:color w:val="FFFFFF"/>
                <w:sz w:val="16"/>
                <w:szCs w:val="20"/>
                <w:lang w:eastAsia="en-AU"/>
              </w:rPr>
              <w:t xml:space="preserve"> 2015 Quarter (in $/ML)</w:t>
            </w:r>
          </w:p>
        </w:tc>
        <w:tc>
          <w:tcPr>
            <w:tcW w:w="469" w:type="pct"/>
            <w:vMerge w:val="restart"/>
            <w:tcBorders>
              <w:top w:val="nil"/>
              <w:left w:val="single" w:sz="4" w:space="0" w:color="C5D9F1"/>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Volume</w:t>
            </w:r>
            <w:r w:rsidR="00E873CF">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 of trades</w:t>
            </w:r>
          </w:p>
        </w:tc>
        <w:tc>
          <w:tcPr>
            <w:tcW w:w="542" w:type="pct"/>
            <w:vMerge w:val="restart"/>
            <w:tcBorders>
              <w:top w:val="nil"/>
              <w:left w:val="nil"/>
              <w:right w:val="nil"/>
            </w:tcBorders>
            <w:shd w:val="clear" w:color="000000" w:fill="0093D0"/>
            <w:vAlign w:val="center"/>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E873CF" w:rsidRPr="00147005" w:rsidTr="00A1357C">
        <w:trPr>
          <w:trHeight w:val="552"/>
        </w:trPr>
        <w:tc>
          <w:tcPr>
            <w:tcW w:w="483"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502" w:type="pct"/>
            <w:tcBorders>
              <w:top w:val="nil"/>
              <w:left w:val="nil"/>
              <w:bottom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w:t>
            </w:r>
          </w:p>
        </w:tc>
        <w:tc>
          <w:tcPr>
            <w:tcW w:w="478"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0" w:type="pct"/>
            <w:tcBorders>
              <w:top w:val="nil"/>
              <w:left w:val="single" w:sz="4" w:space="0" w:color="C5D9F1"/>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0"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0"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0"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7" w:type="pct"/>
            <w:tcBorders>
              <w:top w:val="nil"/>
              <w:left w:val="nil"/>
              <w:bottom w:val="nil"/>
              <w:right w:val="single" w:sz="4" w:space="0" w:color="C5D9F1"/>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543" w:type="pct"/>
            <w:vMerge/>
            <w:tcBorders>
              <w:left w:val="nil"/>
              <w:bottom w:val="nil"/>
              <w:right w:val="nil"/>
            </w:tcBorders>
          </w:tcPr>
          <w:p w:rsidR="00E873CF" w:rsidRPr="00147005" w:rsidRDefault="00E873CF" w:rsidP="00E873CF">
            <w:pPr>
              <w:spacing w:after="0" w:line="240" w:lineRule="auto"/>
              <w:rPr>
                <w:rFonts w:eastAsia="Times New Roman"/>
                <w:b/>
                <w:bCs/>
                <w:color w:val="FFFFFF"/>
                <w:sz w:val="16"/>
                <w:szCs w:val="20"/>
                <w:lang w:eastAsia="en-AU"/>
              </w:rPr>
            </w:pPr>
          </w:p>
        </w:tc>
      </w:tr>
      <w:tr w:rsidR="00F06C8D" w:rsidRPr="00147005" w:rsidTr="00A1357C">
        <w:trPr>
          <w:trHeight w:val="555"/>
        </w:trPr>
        <w:tc>
          <w:tcPr>
            <w:tcW w:w="483"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lang w:eastAsia="en-AU"/>
              </w:rPr>
            </w:pPr>
            <w:r>
              <w:rPr>
                <w:b/>
                <w:bCs/>
                <w:color w:val="000000"/>
                <w:sz w:val="16"/>
                <w:szCs w:val="16"/>
              </w:rPr>
              <w:t>3,050</w:t>
            </w:r>
          </w:p>
        </w:tc>
        <w:tc>
          <w:tcPr>
            <w:tcW w:w="502"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3,151</w:t>
            </w:r>
          </w:p>
        </w:tc>
        <w:tc>
          <w:tcPr>
            <w:tcW w:w="478"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3,088</w:t>
            </w:r>
          </w:p>
        </w:tc>
        <w:tc>
          <w:tcPr>
            <w:tcW w:w="410"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3,125</w:t>
            </w:r>
          </w:p>
        </w:tc>
        <w:tc>
          <w:tcPr>
            <w:tcW w:w="410"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3,200</w:t>
            </w:r>
          </w:p>
        </w:tc>
        <w:tc>
          <w:tcPr>
            <w:tcW w:w="410"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3,200</w:t>
            </w:r>
          </w:p>
        </w:tc>
        <w:tc>
          <w:tcPr>
            <w:tcW w:w="410"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3,150</w:t>
            </w:r>
          </w:p>
        </w:tc>
        <w:tc>
          <w:tcPr>
            <w:tcW w:w="417"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3,200</w:t>
            </w:r>
          </w:p>
        </w:tc>
        <w:tc>
          <w:tcPr>
            <w:tcW w:w="469"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304</w:t>
            </w:r>
          </w:p>
        </w:tc>
        <w:tc>
          <w:tcPr>
            <w:tcW w:w="469" w:type="pct"/>
            <w:tcBorders>
              <w:top w:val="nil"/>
              <w:left w:val="nil"/>
              <w:bottom w:val="single" w:sz="4" w:space="0" w:color="0093D0"/>
              <w:right w:val="nil"/>
            </w:tcBorders>
            <w:shd w:val="clear" w:color="auto" w:fill="auto"/>
            <w:noWrap/>
            <w:vAlign w:val="center"/>
            <w:hideMark/>
          </w:tcPr>
          <w:p w:rsidR="00F06C8D" w:rsidRDefault="00F06C8D" w:rsidP="00F06C8D">
            <w:pPr>
              <w:spacing w:after="0" w:line="240" w:lineRule="auto"/>
              <w:jc w:val="center"/>
              <w:rPr>
                <w:b/>
                <w:bCs/>
                <w:color w:val="000000"/>
                <w:sz w:val="16"/>
                <w:szCs w:val="16"/>
              </w:rPr>
            </w:pPr>
            <w:r>
              <w:rPr>
                <w:b/>
                <w:bCs/>
                <w:color w:val="000000"/>
                <w:sz w:val="16"/>
                <w:szCs w:val="16"/>
              </w:rPr>
              <w:t>3</w:t>
            </w:r>
          </w:p>
        </w:tc>
        <w:tc>
          <w:tcPr>
            <w:tcW w:w="543" w:type="pct"/>
            <w:tcBorders>
              <w:top w:val="nil"/>
              <w:left w:val="nil"/>
              <w:bottom w:val="single" w:sz="4" w:space="0" w:color="0093D0"/>
              <w:right w:val="nil"/>
            </w:tcBorders>
            <w:vAlign w:val="center"/>
          </w:tcPr>
          <w:p w:rsidR="00F06C8D" w:rsidRPr="00147005" w:rsidRDefault="00F06C8D" w:rsidP="00F06C8D">
            <w:pPr>
              <w:spacing w:after="0" w:line="240" w:lineRule="auto"/>
              <w:jc w:val="center"/>
              <w:rPr>
                <w:rFonts w:eastAsia="Times New Roman"/>
                <w:b/>
                <w:bCs/>
                <w:color w:val="000000"/>
                <w:sz w:val="16"/>
                <w:szCs w:val="20"/>
                <w:lang w:eastAsia="en-AU"/>
              </w:rPr>
            </w:pPr>
            <w:r w:rsidRPr="00F06C8D">
              <w:rPr>
                <w:rFonts w:eastAsia="Times New Roman"/>
                <w:b/>
                <w:bCs/>
                <w:color w:val="000000"/>
                <w:sz w:val="16"/>
                <w:szCs w:val="20"/>
                <w:lang w:eastAsia="en-AU"/>
              </w:rPr>
              <w:t>3,200 – 4,000</w:t>
            </w:r>
          </w:p>
        </w:tc>
      </w:tr>
    </w:tbl>
    <w:p w:rsidR="00A7681C" w:rsidRDefault="00A7681C" w:rsidP="00A7681C">
      <w:pPr>
        <w:pStyle w:val="MJAnormal"/>
      </w:pPr>
    </w:p>
    <w:p w:rsidR="00752C85" w:rsidRDefault="00752C85" w:rsidP="00752C85">
      <w:pPr>
        <w:pStyle w:val="Caption"/>
      </w:pPr>
      <w:r>
        <w:t xml:space="preserve">Figure </w:t>
      </w:r>
      <w:r w:rsidR="00C23339">
        <w:fldChar w:fldCharType="begin"/>
      </w:r>
      <w:r w:rsidR="007B266E">
        <w:instrText xml:space="preserve"> SEQ Figure \* ARABIC </w:instrText>
      </w:r>
      <w:r w:rsidR="00C23339">
        <w:fldChar w:fldCharType="separate"/>
      </w:r>
      <w:r w:rsidR="00E00DC7">
        <w:rPr>
          <w:noProof/>
        </w:rPr>
        <w:t>30</w:t>
      </w:r>
      <w:r w:rsidR="00C23339">
        <w:rPr>
          <w:noProof/>
        </w:rPr>
        <w:fldChar w:fldCharType="end"/>
      </w:r>
      <w:r>
        <w:t>: Entitlement market price range by volume</w:t>
      </w:r>
    </w:p>
    <w:p w:rsidR="003A4303" w:rsidRDefault="00F06C8D" w:rsidP="008136D8">
      <w:pPr>
        <w:pStyle w:val="MJAnormal"/>
      </w:pPr>
      <w:r>
        <w:rPr>
          <w:noProof/>
          <w:lang w:eastAsia="en-AU"/>
        </w:rPr>
        <w:drawing>
          <wp:inline distT="0" distB="0" distL="0" distR="0">
            <wp:extent cx="5760000" cy="2073101"/>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073101"/>
                    </a:xfrm>
                    <a:prstGeom prst="rect">
                      <a:avLst/>
                    </a:prstGeom>
                    <a:noFill/>
                  </pic:spPr>
                </pic:pic>
              </a:graphicData>
            </a:graphic>
          </wp:inline>
        </w:drawing>
      </w:r>
    </w:p>
    <w:p w:rsidR="009B0F4B" w:rsidRDefault="009B0F4B" w:rsidP="008136D8">
      <w:pPr>
        <w:pStyle w:val="MJAnormal"/>
      </w:pPr>
    </w:p>
    <w:p w:rsidR="009B0F4B" w:rsidRPr="00360040" w:rsidRDefault="009B0F4B" w:rsidP="009B0F4B">
      <w:pPr>
        <w:pStyle w:val="MJAsource"/>
        <w:rPr>
          <w:sz w:val="16"/>
        </w:rPr>
      </w:pPr>
      <w:r w:rsidRPr="00360040">
        <w:rPr>
          <w:b/>
          <w:sz w:val="16"/>
        </w:rPr>
        <w:t>Note:</w:t>
      </w:r>
      <w:r w:rsidRPr="00360040">
        <w:rPr>
          <w:sz w:val="16"/>
        </w:rPr>
        <w:t xml:space="preserve"> </w:t>
      </w:r>
      <w:r w:rsidR="007A60C3">
        <w:rPr>
          <w:sz w:val="16"/>
        </w:rPr>
        <w:t>One t</w:t>
      </w:r>
      <w:r w:rsidRPr="00360040">
        <w:rPr>
          <w:sz w:val="16"/>
        </w:rPr>
        <w:t xml:space="preserve">rade which </w:t>
      </w:r>
      <w:r w:rsidR="007A60C3">
        <w:rPr>
          <w:sz w:val="16"/>
        </w:rPr>
        <w:t>is</w:t>
      </w:r>
      <w:r w:rsidR="007A60C3" w:rsidRPr="00360040">
        <w:rPr>
          <w:sz w:val="16"/>
        </w:rPr>
        <w:t xml:space="preserve"> </w:t>
      </w:r>
      <w:r>
        <w:rPr>
          <w:sz w:val="16"/>
        </w:rPr>
        <w:t>in</w:t>
      </w:r>
      <w:r w:rsidRPr="00360040">
        <w:rPr>
          <w:sz w:val="16"/>
        </w:rPr>
        <w:t xml:space="preserve">side two standard deviations of the average price of water entitlements </w:t>
      </w:r>
      <w:r w:rsidR="007A60C3" w:rsidRPr="00360040">
        <w:rPr>
          <w:sz w:val="16"/>
        </w:rPr>
        <w:t>ha</w:t>
      </w:r>
      <w:r w:rsidR="007A60C3">
        <w:rPr>
          <w:sz w:val="16"/>
        </w:rPr>
        <w:t>s</w:t>
      </w:r>
      <w:r w:rsidR="007A60C3" w:rsidRPr="00360040">
        <w:rPr>
          <w:sz w:val="16"/>
        </w:rPr>
        <w:t xml:space="preserve"> </w:t>
      </w:r>
      <w:r w:rsidRPr="00360040">
        <w:rPr>
          <w:sz w:val="16"/>
        </w:rPr>
        <w:t xml:space="preserve">been </w:t>
      </w:r>
      <w:r>
        <w:rPr>
          <w:sz w:val="16"/>
        </w:rPr>
        <w:t>excluded for this region.</w:t>
      </w:r>
    </w:p>
    <w:p w:rsidR="003A4303" w:rsidRPr="002D50B8" w:rsidRDefault="002D50B8" w:rsidP="003A4303">
      <w:pPr>
        <w:rPr>
          <w:i/>
          <w:sz w:val="18"/>
          <w:szCs w:val="18"/>
        </w:rPr>
      </w:pPr>
      <w:r w:rsidRPr="00074B0E">
        <w:rPr>
          <w:b/>
          <w:i/>
          <w:sz w:val="16"/>
          <w:szCs w:val="18"/>
        </w:rPr>
        <w:t>Data Sources</w:t>
      </w:r>
      <w:r w:rsidRPr="002D50B8">
        <w:rPr>
          <w:b/>
          <w:i/>
          <w:sz w:val="18"/>
          <w:szCs w:val="18"/>
        </w:rPr>
        <w:t xml:space="preserve">: </w:t>
      </w:r>
      <w:r w:rsidRPr="00F17E80">
        <w:rPr>
          <w:i/>
          <w:sz w:val="16"/>
          <w:szCs w:val="18"/>
        </w:rPr>
        <w:t>NSW Water Register (</w:t>
      </w:r>
      <w:hyperlink r:id="rId90" w:history="1">
        <w:r w:rsidRPr="00F17E80">
          <w:rPr>
            <w:rStyle w:val="Hyperlink"/>
            <w:i/>
            <w:color w:val="auto"/>
            <w:sz w:val="16"/>
            <w:szCs w:val="18"/>
          </w:rPr>
          <w:t>http://registers.water.nsw.gov.au/wma/WaterShareIntraWSLocSearch.jsp?selectedRegister=WaterShare</w:t>
        </w:r>
      </w:hyperlink>
      <w:r w:rsidRPr="00F17E80">
        <w:rPr>
          <w:rStyle w:val="Hyperlink"/>
          <w:i/>
          <w:color w:val="auto"/>
          <w:sz w:val="16"/>
          <w:szCs w:val="18"/>
        </w:rPr>
        <w:t>, http://www.water.nsw.gov.au/water-licensing/</w:t>
      </w:r>
      <w:r w:rsidRPr="000A37A8">
        <w:rPr>
          <w:rStyle w:val="Hyperlink"/>
          <w:i/>
          <w:color w:val="auto"/>
          <w:sz w:val="16"/>
          <w:szCs w:val="18"/>
        </w:rPr>
        <w:t>registers</w:t>
      </w:r>
      <w:r w:rsidRPr="000A37A8">
        <w:rPr>
          <w:i/>
          <w:sz w:val="16"/>
          <w:szCs w:val="18"/>
        </w:rPr>
        <w:t>), National Water Exchange (</w:t>
      </w:r>
      <w:hyperlink r:id="rId91" w:history="1">
        <w:r w:rsidR="000A37A8" w:rsidRPr="000A37A8">
          <w:rPr>
            <w:rStyle w:val="Hyperlink"/>
            <w:i/>
            <w:sz w:val="16"/>
          </w:rPr>
          <w:t>www.waterexchange.com.au</w:t>
        </w:r>
      </w:hyperlink>
      <w:r w:rsidR="000A37A8" w:rsidRPr="000A37A8">
        <w:rPr>
          <w:i/>
          <w:sz w:val="16"/>
        </w:rPr>
        <w:t xml:space="preserve">), </w:t>
      </w:r>
      <w:proofErr w:type="spellStart"/>
      <w:r w:rsidR="000A37A8" w:rsidRPr="000A37A8">
        <w:rPr>
          <w:i/>
          <w:sz w:val="16"/>
        </w:rPr>
        <w:t>Waterfind</w:t>
      </w:r>
      <w:proofErr w:type="spellEnd"/>
      <w:r w:rsidR="000A37A8" w:rsidRPr="000A37A8">
        <w:rPr>
          <w:i/>
          <w:sz w:val="16"/>
        </w:rPr>
        <w:t xml:space="preserve"> (</w:t>
      </w:r>
      <w:hyperlink r:id="rId92" w:history="1">
        <w:r w:rsidR="000A37A8" w:rsidRPr="000A37A8">
          <w:rPr>
            <w:rStyle w:val="Hyperlink"/>
            <w:i/>
            <w:sz w:val="16"/>
          </w:rPr>
          <w:t>www.waterfind.com.au</w:t>
        </w:r>
      </w:hyperlink>
      <w:r w:rsidR="000A37A8" w:rsidRPr="000A37A8">
        <w:rPr>
          <w:i/>
          <w:sz w:val="16"/>
        </w:rPr>
        <w:t>), H2OX (</w:t>
      </w:r>
      <w:hyperlink r:id="rId93" w:history="1">
        <w:r w:rsidR="000A37A8" w:rsidRPr="000A37A8">
          <w:rPr>
            <w:rStyle w:val="Hyperlink"/>
            <w:i/>
            <w:sz w:val="16"/>
          </w:rPr>
          <w:t>www.h2ox.com</w:t>
        </w:r>
      </w:hyperlink>
      <w:r w:rsidR="000A37A8" w:rsidRPr="000A37A8">
        <w:rPr>
          <w:i/>
          <w:sz w:val="16"/>
        </w:rPr>
        <w:t>)</w:t>
      </w:r>
      <w:r w:rsidR="000A37A8">
        <w:rPr>
          <w:sz w:val="16"/>
        </w:rPr>
        <w:t xml:space="preserve"> </w:t>
      </w:r>
      <w:r w:rsidR="003A4303" w:rsidRPr="002D50B8">
        <w:rPr>
          <w:i/>
          <w:sz w:val="18"/>
          <w:szCs w:val="18"/>
        </w:rPr>
        <w:br w:type="page"/>
      </w:r>
    </w:p>
    <w:p w:rsidR="003A4303" w:rsidRDefault="003A4303" w:rsidP="00EE00DE">
      <w:pPr>
        <w:pStyle w:val="MJAheading2"/>
      </w:pPr>
      <w:bookmarkStart w:id="61" w:name="_Toc441834757"/>
      <w:r>
        <w:t>Lower Darling: General Security</w:t>
      </w:r>
      <w:bookmarkEnd w:id="61"/>
    </w:p>
    <w:p w:rsidR="003A4303" w:rsidRDefault="003A4303" w:rsidP="003A4303">
      <w:pPr>
        <w:pStyle w:val="Caption"/>
      </w:pPr>
      <w:bookmarkStart w:id="62" w:name="_Toc426386627"/>
      <w:r>
        <w:t xml:space="preserve">Figure </w:t>
      </w:r>
      <w:r w:rsidR="00C23339">
        <w:fldChar w:fldCharType="begin"/>
      </w:r>
      <w:r w:rsidR="00134558">
        <w:instrText xml:space="preserve"> SEQ Figure \* ARABIC </w:instrText>
      </w:r>
      <w:r w:rsidR="00C23339">
        <w:fldChar w:fldCharType="separate"/>
      </w:r>
      <w:r w:rsidR="00E00DC7">
        <w:rPr>
          <w:noProof/>
        </w:rPr>
        <w:t>31</w:t>
      </w:r>
      <w:r w:rsidR="00C23339">
        <w:rPr>
          <w:noProof/>
        </w:rPr>
        <w:fldChar w:fldCharType="end"/>
      </w:r>
      <w:r>
        <w:t>: Entitlement market prices and volumes</w:t>
      </w:r>
      <w:bookmarkEnd w:id="62"/>
    </w:p>
    <w:p w:rsidR="003A4303" w:rsidRDefault="00F06C8D" w:rsidP="008514E6">
      <w:pPr>
        <w:pStyle w:val="MJAnormal"/>
      </w:pPr>
      <w:r>
        <w:rPr>
          <w:noProof/>
          <w:lang w:eastAsia="en-AU"/>
        </w:rPr>
        <w:drawing>
          <wp:inline distT="0" distB="0" distL="0" distR="0">
            <wp:extent cx="5760000" cy="279056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3A4303" w:rsidRPr="003A4303" w:rsidRDefault="003A4303" w:rsidP="008514E6">
      <w:pPr>
        <w:pStyle w:val="MJAnormal"/>
      </w:pPr>
    </w:p>
    <w:p w:rsidR="003A4303" w:rsidRDefault="003A4303" w:rsidP="003A4303">
      <w:pPr>
        <w:pStyle w:val="Caption"/>
      </w:pPr>
      <w:bookmarkStart w:id="63" w:name="_Toc426386569"/>
      <w:r>
        <w:t xml:space="preserve">Table </w:t>
      </w:r>
      <w:r w:rsidR="00C23339">
        <w:fldChar w:fldCharType="begin"/>
      </w:r>
      <w:r w:rsidR="00134558">
        <w:instrText xml:space="preserve"> SEQ Table \* ARABIC </w:instrText>
      </w:r>
      <w:r w:rsidR="00C23339">
        <w:fldChar w:fldCharType="separate"/>
      </w:r>
      <w:r w:rsidR="00E00DC7">
        <w:rPr>
          <w:noProof/>
        </w:rPr>
        <w:t>16</w:t>
      </w:r>
      <w:r w:rsidR="00C23339">
        <w:rPr>
          <w:noProof/>
        </w:rPr>
        <w:fldChar w:fldCharType="end"/>
      </w:r>
      <w:r>
        <w:t>: Entitlement market prices and volumes</w:t>
      </w:r>
      <w:bookmarkEnd w:id="63"/>
    </w:p>
    <w:tbl>
      <w:tblPr>
        <w:tblW w:w="0" w:type="auto"/>
        <w:tblLayout w:type="fixed"/>
        <w:tblCellMar>
          <w:left w:w="28" w:type="dxa"/>
          <w:right w:w="28" w:type="dxa"/>
        </w:tblCellMar>
        <w:tblLook w:val="04A0"/>
      </w:tblPr>
      <w:tblGrid>
        <w:gridCol w:w="875"/>
        <w:gridCol w:w="913"/>
        <w:gridCol w:w="867"/>
        <w:gridCol w:w="745"/>
        <w:gridCol w:w="745"/>
        <w:gridCol w:w="746"/>
        <w:gridCol w:w="746"/>
        <w:gridCol w:w="749"/>
        <w:gridCol w:w="851"/>
        <w:gridCol w:w="851"/>
        <w:gridCol w:w="983"/>
      </w:tblGrid>
      <w:tr w:rsidR="00E873CF" w:rsidRPr="00147005" w:rsidTr="00EA394F">
        <w:trPr>
          <w:trHeight w:val="525"/>
        </w:trPr>
        <w:tc>
          <w:tcPr>
            <w:tcW w:w="2655" w:type="dxa"/>
            <w:gridSpan w:val="3"/>
            <w:tcBorders>
              <w:top w:val="nil"/>
              <w:left w:val="nil"/>
              <w:bottom w:val="nil"/>
              <w:right w:val="nil"/>
            </w:tcBorders>
            <w:shd w:val="clear" w:color="000000" w:fill="0093D0"/>
            <w:noWrap/>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3731" w:type="dxa"/>
            <w:gridSpan w:val="5"/>
            <w:tcBorders>
              <w:top w:val="nil"/>
              <w:left w:val="single" w:sz="4" w:space="0" w:color="C5D9F1"/>
              <w:bottom w:val="nil"/>
              <w:right w:val="single" w:sz="4" w:space="0" w:color="C5D9F1"/>
            </w:tcBorders>
            <w:shd w:val="clear" w:color="000000" w:fill="0093D0"/>
            <w:noWrap/>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E873CF" w:rsidRPr="00147005">
              <w:rPr>
                <w:rFonts w:eastAsia="Times New Roman"/>
                <w:b/>
                <w:bCs/>
                <w:color w:val="FFFFFF"/>
                <w:sz w:val="16"/>
                <w:szCs w:val="20"/>
                <w:lang w:eastAsia="en-AU"/>
              </w:rPr>
              <w:t xml:space="preserve"> 2015 Quarter (in $/ML)</w:t>
            </w:r>
          </w:p>
        </w:tc>
        <w:tc>
          <w:tcPr>
            <w:tcW w:w="851" w:type="dxa"/>
            <w:vMerge w:val="restart"/>
            <w:tcBorders>
              <w:top w:val="nil"/>
              <w:left w:val="single" w:sz="4" w:space="0" w:color="C5D9F1"/>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Volume</w:t>
            </w:r>
            <w:r w:rsidR="00E873CF">
              <w:rPr>
                <w:rFonts w:eastAsia="Times New Roman"/>
                <w:b/>
                <w:bCs/>
                <w:color w:val="FFFFFF"/>
                <w:sz w:val="16"/>
                <w:szCs w:val="20"/>
                <w:lang w:eastAsia="en-AU"/>
              </w:rPr>
              <w:t xml:space="preserve"> (ML)</w:t>
            </w:r>
          </w:p>
        </w:tc>
        <w:tc>
          <w:tcPr>
            <w:tcW w:w="851" w:type="dxa"/>
            <w:vMerge w:val="restart"/>
            <w:tcBorders>
              <w:top w:val="nil"/>
              <w:left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 of trades</w:t>
            </w:r>
          </w:p>
        </w:tc>
        <w:tc>
          <w:tcPr>
            <w:tcW w:w="983" w:type="dxa"/>
            <w:vMerge w:val="restart"/>
            <w:tcBorders>
              <w:top w:val="nil"/>
              <w:left w:val="nil"/>
              <w:right w:val="nil"/>
            </w:tcBorders>
            <w:shd w:val="clear" w:color="000000" w:fill="0093D0"/>
            <w:vAlign w:val="center"/>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E873CF" w:rsidRPr="00147005" w:rsidTr="00EA394F">
        <w:trPr>
          <w:trHeight w:val="552"/>
        </w:trPr>
        <w:tc>
          <w:tcPr>
            <w:tcW w:w="875"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913" w:type="dxa"/>
            <w:tcBorders>
              <w:top w:val="nil"/>
              <w:left w:val="nil"/>
              <w:bottom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w:t>
            </w:r>
          </w:p>
        </w:tc>
        <w:tc>
          <w:tcPr>
            <w:tcW w:w="867"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745" w:type="dxa"/>
            <w:tcBorders>
              <w:top w:val="nil"/>
              <w:left w:val="single" w:sz="4" w:space="0" w:color="C5D9F1"/>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745"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746"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746"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749" w:type="dxa"/>
            <w:tcBorders>
              <w:top w:val="nil"/>
              <w:left w:val="nil"/>
              <w:bottom w:val="nil"/>
              <w:right w:val="single" w:sz="4" w:space="0" w:color="C5D9F1"/>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851" w:type="dxa"/>
            <w:vMerge/>
            <w:tcBorders>
              <w:left w:val="single" w:sz="4" w:space="0" w:color="C5D9F1"/>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851" w:type="dxa"/>
            <w:vMerge/>
            <w:tcBorders>
              <w:left w:val="nil"/>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983" w:type="dxa"/>
            <w:vMerge/>
            <w:tcBorders>
              <w:left w:val="nil"/>
              <w:bottom w:val="nil"/>
              <w:right w:val="nil"/>
            </w:tcBorders>
          </w:tcPr>
          <w:p w:rsidR="00E873CF" w:rsidRPr="00147005" w:rsidRDefault="00E873CF" w:rsidP="00E873CF">
            <w:pPr>
              <w:spacing w:after="0" w:line="240" w:lineRule="auto"/>
              <w:rPr>
                <w:rFonts w:eastAsia="Times New Roman"/>
                <w:b/>
                <w:bCs/>
                <w:color w:val="FFFFFF"/>
                <w:sz w:val="16"/>
                <w:szCs w:val="20"/>
                <w:lang w:eastAsia="en-AU"/>
              </w:rPr>
            </w:pPr>
          </w:p>
        </w:tc>
      </w:tr>
      <w:tr w:rsidR="00E873CF" w:rsidRPr="00147005" w:rsidTr="00EA394F">
        <w:trPr>
          <w:trHeight w:val="555"/>
        </w:trPr>
        <w:tc>
          <w:tcPr>
            <w:tcW w:w="875" w:type="dxa"/>
            <w:tcBorders>
              <w:top w:val="nil"/>
              <w:left w:val="nil"/>
              <w:bottom w:val="single" w:sz="4" w:space="0" w:color="0093D0"/>
              <w:right w:val="nil"/>
            </w:tcBorders>
            <w:shd w:val="clear" w:color="auto" w:fill="auto"/>
            <w:noWrap/>
            <w:vAlign w:val="center"/>
          </w:tcPr>
          <w:p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913" w:type="dxa"/>
            <w:tcBorders>
              <w:top w:val="nil"/>
              <w:left w:val="nil"/>
              <w:bottom w:val="single" w:sz="4" w:space="0" w:color="0093D0"/>
              <w:right w:val="nil"/>
            </w:tcBorders>
            <w:shd w:val="clear" w:color="auto" w:fill="auto"/>
            <w:noWrap/>
            <w:vAlign w:val="center"/>
          </w:tcPr>
          <w:p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867" w:type="dxa"/>
            <w:tcBorders>
              <w:top w:val="nil"/>
              <w:left w:val="nil"/>
              <w:bottom w:val="single" w:sz="4" w:space="0" w:color="0093D0"/>
              <w:right w:val="nil"/>
            </w:tcBorders>
            <w:shd w:val="clear" w:color="auto" w:fill="auto"/>
            <w:noWrap/>
            <w:vAlign w:val="center"/>
          </w:tcPr>
          <w:p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745" w:type="dxa"/>
            <w:tcBorders>
              <w:top w:val="nil"/>
              <w:left w:val="nil"/>
              <w:bottom w:val="single" w:sz="4" w:space="0" w:color="0093D0"/>
              <w:right w:val="nil"/>
            </w:tcBorders>
            <w:shd w:val="clear" w:color="auto" w:fill="auto"/>
            <w:noWrap/>
            <w:vAlign w:val="center"/>
          </w:tcPr>
          <w:p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745" w:type="dxa"/>
            <w:tcBorders>
              <w:top w:val="nil"/>
              <w:left w:val="nil"/>
              <w:bottom w:val="single" w:sz="4" w:space="0" w:color="0093D0"/>
              <w:right w:val="nil"/>
            </w:tcBorders>
            <w:shd w:val="clear" w:color="auto" w:fill="auto"/>
            <w:noWrap/>
            <w:vAlign w:val="center"/>
          </w:tcPr>
          <w:p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746" w:type="dxa"/>
            <w:tcBorders>
              <w:top w:val="nil"/>
              <w:left w:val="nil"/>
              <w:bottom w:val="single" w:sz="4" w:space="0" w:color="0093D0"/>
              <w:right w:val="nil"/>
            </w:tcBorders>
            <w:shd w:val="clear" w:color="auto" w:fill="auto"/>
            <w:noWrap/>
            <w:vAlign w:val="center"/>
          </w:tcPr>
          <w:p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746" w:type="dxa"/>
            <w:tcBorders>
              <w:top w:val="nil"/>
              <w:left w:val="nil"/>
              <w:bottom w:val="single" w:sz="4" w:space="0" w:color="0093D0"/>
              <w:right w:val="nil"/>
            </w:tcBorders>
            <w:shd w:val="clear" w:color="auto" w:fill="auto"/>
            <w:noWrap/>
            <w:vAlign w:val="center"/>
          </w:tcPr>
          <w:p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749" w:type="dxa"/>
            <w:tcBorders>
              <w:top w:val="nil"/>
              <w:left w:val="nil"/>
              <w:bottom w:val="single" w:sz="4" w:space="0" w:color="0093D0"/>
              <w:right w:val="nil"/>
            </w:tcBorders>
            <w:shd w:val="clear" w:color="auto" w:fill="auto"/>
            <w:noWrap/>
            <w:vAlign w:val="center"/>
          </w:tcPr>
          <w:p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851" w:type="dxa"/>
            <w:tcBorders>
              <w:top w:val="nil"/>
              <w:left w:val="nil"/>
              <w:bottom w:val="single" w:sz="4" w:space="0" w:color="0093D0"/>
              <w:right w:val="nil"/>
            </w:tcBorders>
            <w:shd w:val="clear" w:color="auto" w:fill="auto"/>
            <w:noWrap/>
            <w:vAlign w:val="center"/>
          </w:tcPr>
          <w:p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851" w:type="dxa"/>
            <w:tcBorders>
              <w:top w:val="nil"/>
              <w:left w:val="nil"/>
              <w:bottom w:val="single" w:sz="4" w:space="0" w:color="0093D0"/>
              <w:right w:val="nil"/>
            </w:tcBorders>
            <w:shd w:val="clear" w:color="auto" w:fill="auto"/>
            <w:noWrap/>
            <w:vAlign w:val="center"/>
          </w:tcPr>
          <w:p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983" w:type="dxa"/>
            <w:tcBorders>
              <w:top w:val="nil"/>
              <w:left w:val="nil"/>
              <w:bottom w:val="single" w:sz="4" w:space="0" w:color="0093D0"/>
              <w:right w:val="nil"/>
            </w:tcBorders>
            <w:vAlign w:val="center"/>
          </w:tcPr>
          <w:p w:rsidR="00E873CF" w:rsidRPr="00217E01" w:rsidRDefault="00E873CF" w:rsidP="00E873CF">
            <w:pPr>
              <w:spacing w:after="0" w:line="240" w:lineRule="auto"/>
              <w:jc w:val="center"/>
              <w:rPr>
                <w:rFonts w:eastAsia="Times New Roman"/>
                <w:bCs/>
                <w:color w:val="000000"/>
                <w:sz w:val="16"/>
                <w:szCs w:val="20"/>
                <w:lang w:eastAsia="en-AU"/>
              </w:rPr>
            </w:pPr>
            <w:r w:rsidRPr="00217E01">
              <w:rPr>
                <w:rFonts w:eastAsia="Times New Roman"/>
                <w:bCs/>
                <w:color w:val="000000"/>
                <w:sz w:val="16"/>
                <w:szCs w:val="20"/>
                <w:lang w:eastAsia="en-AU"/>
              </w:rPr>
              <w:t>No listings</w:t>
            </w:r>
          </w:p>
        </w:tc>
      </w:tr>
    </w:tbl>
    <w:p w:rsidR="003A4303" w:rsidRDefault="003A4303" w:rsidP="008514E6">
      <w:pPr>
        <w:pStyle w:val="MJAnormal"/>
      </w:pPr>
    </w:p>
    <w:p w:rsidR="002D50B8" w:rsidRDefault="002D50B8" w:rsidP="002D50B8">
      <w:pPr>
        <w:pStyle w:val="MJAsource"/>
        <w:rPr>
          <w:sz w:val="16"/>
        </w:rPr>
      </w:pPr>
      <w:r w:rsidRPr="00074B0E">
        <w:rPr>
          <w:b/>
          <w:sz w:val="16"/>
          <w:szCs w:val="16"/>
        </w:rPr>
        <w:t xml:space="preserve">Data Sources: </w:t>
      </w:r>
      <w:r w:rsidRPr="00074B0E">
        <w:rPr>
          <w:sz w:val="16"/>
          <w:szCs w:val="16"/>
        </w:rPr>
        <w:t>NSW Water</w:t>
      </w:r>
      <w:r w:rsidRPr="00C80A6D">
        <w:rPr>
          <w:sz w:val="16"/>
        </w:rPr>
        <w:t xml:space="preserve"> Register (</w:t>
      </w:r>
      <w:hyperlink r:id="rId95" w:history="1">
        <w:r w:rsidRPr="00C80A6D">
          <w:rPr>
            <w:rStyle w:val="Hyperlink"/>
            <w:color w:val="auto"/>
            <w:sz w:val="16"/>
            <w:u w:val="none"/>
          </w:rPr>
          <w:t>http://registers.water.nsw.gov.au/wma/WaterShareIntraWSLocSearch.jsp?selectedRegister=WaterShare</w:t>
        </w:r>
      </w:hyperlink>
      <w:r w:rsidRPr="00C80A6D">
        <w:rPr>
          <w:rStyle w:val="Hyperlink"/>
          <w:color w:val="auto"/>
          <w:sz w:val="16"/>
          <w:u w:val="none"/>
        </w:rPr>
        <w:t>, http://www.water.nsw.gov.au/water-licensing/registers</w:t>
      </w:r>
      <w:r w:rsidRPr="00C80A6D">
        <w:rPr>
          <w:sz w:val="16"/>
        </w:rPr>
        <w:t xml:space="preserve">), National Water Exchange </w:t>
      </w:r>
      <w:r w:rsidR="000A37A8" w:rsidRPr="00F17E80">
        <w:rPr>
          <w:sz w:val="16"/>
        </w:rPr>
        <w:t>(</w:t>
      </w:r>
      <w:hyperlink r:id="rId96" w:history="1">
        <w:r w:rsidR="000A37A8" w:rsidRPr="00631B5E">
          <w:rPr>
            <w:rStyle w:val="Hyperlink"/>
            <w:sz w:val="16"/>
          </w:rPr>
          <w:t>www.waterexchange.com.au</w:t>
        </w:r>
      </w:hyperlink>
      <w:r w:rsidR="000A37A8" w:rsidRPr="00F17E80">
        <w:rPr>
          <w:sz w:val="16"/>
        </w:rPr>
        <w:t xml:space="preserve">), </w:t>
      </w:r>
      <w:proofErr w:type="spellStart"/>
      <w:r w:rsidR="000A37A8" w:rsidRPr="00F17E80">
        <w:rPr>
          <w:sz w:val="16"/>
        </w:rPr>
        <w:t>Waterfind</w:t>
      </w:r>
      <w:proofErr w:type="spellEnd"/>
      <w:r w:rsidR="000A37A8" w:rsidRPr="00F17E80">
        <w:rPr>
          <w:sz w:val="16"/>
        </w:rPr>
        <w:t xml:space="preserve"> (</w:t>
      </w:r>
      <w:hyperlink r:id="rId97" w:history="1">
        <w:r w:rsidR="000A37A8" w:rsidRPr="00F17E80">
          <w:rPr>
            <w:rStyle w:val="Hyperlink"/>
            <w:sz w:val="16"/>
          </w:rPr>
          <w:t>www.waterfind.com.au</w:t>
        </w:r>
      </w:hyperlink>
      <w:r w:rsidR="000A37A8" w:rsidRPr="00F17E80">
        <w:rPr>
          <w:sz w:val="16"/>
        </w:rPr>
        <w:t>)</w:t>
      </w:r>
      <w:r w:rsidR="000A37A8">
        <w:rPr>
          <w:sz w:val="16"/>
        </w:rPr>
        <w:t>, H2OX (</w:t>
      </w:r>
      <w:hyperlink r:id="rId98" w:history="1">
        <w:r w:rsidR="000A37A8" w:rsidRPr="00631B5E">
          <w:rPr>
            <w:rStyle w:val="Hyperlink"/>
            <w:sz w:val="16"/>
          </w:rPr>
          <w:t>www.h2ox.com</w:t>
        </w:r>
      </w:hyperlink>
      <w:r w:rsidR="000A37A8">
        <w:rPr>
          <w:sz w:val="16"/>
        </w:rPr>
        <w:t>)</w:t>
      </w:r>
    </w:p>
    <w:p w:rsidR="00930C1C" w:rsidRDefault="00930C1C" w:rsidP="00930C1C">
      <w:pPr>
        <w:tabs>
          <w:tab w:val="center" w:pos="4252"/>
        </w:tabs>
        <w:spacing w:after="0"/>
        <w:rPr>
          <w:sz w:val="18"/>
        </w:rPr>
      </w:pPr>
      <w:r>
        <w:rPr>
          <w:sz w:val="18"/>
        </w:rPr>
        <w:br w:type="page"/>
      </w:r>
    </w:p>
    <w:p w:rsidR="003A4303" w:rsidRDefault="003A4303" w:rsidP="00EE00DE">
      <w:pPr>
        <w:pStyle w:val="MJAheading2"/>
      </w:pPr>
      <w:bookmarkStart w:id="64" w:name="_Toc441834758"/>
      <w:r>
        <w:t>Lower Darling: High Security</w:t>
      </w:r>
      <w:bookmarkEnd w:id="64"/>
    </w:p>
    <w:p w:rsidR="003A4303" w:rsidRDefault="003A4303" w:rsidP="003A4303">
      <w:pPr>
        <w:pStyle w:val="Caption"/>
      </w:pPr>
      <w:bookmarkStart w:id="65" w:name="_Toc426386629"/>
      <w:r>
        <w:t xml:space="preserve">Figure </w:t>
      </w:r>
      <w:r w:rsidR="00C23339">
        <w:fldChar w:fldCharType="begin"/>
      </w:r>
      <w:r w:rsidR="00134558">
        <w:instrText xml:space="preserve"> SEQ Figure \* ARABIC </w:instrText>
      </w:r>
      <w:r w:rsidR="00C23339">
        <w:fldChar w:fldCharType="separate"/>
      </w:r>
      <w:r w:rsidR="00E00DC7">
        <w:rPr>
          <w:noProof/>
        </w:rPr>
        <w:t>32</w:t>
      </w:r>
      <w:r w:rsidR="00C23339">
        <w:rPr>
          <w:noProof/>
        </w:rPr>
        <w:fldChar w:fldCharType="end"/>
      </w:r>
      <w:r>
        <w:t>: Entitlement market prices and volumes</w:t>
      </w:r>
      <w:bookmarkEnd w:id="65"/>
    </w:p>
    <w:p w:rsidR="00E73A88" w:rsidRDefault="00F06C8D" w:rsidP="00930C1C">
      <w:pPr>
        <w:pStyle w:val="MJAnormal"/>
      </w:pPr>
      <w:r>
        <w:rPr>
          <w:noProof/>
          <w:lang w:eastAsia="en-AU"/>
        </w:rPr>
        <w:drawing>
          <wp:inline distT="0" distB="0" distL="0" distR="0">
            <wp:extent cx="5760000" cy="2790569"/>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3A4303" w:rsidRPr="003A4303" w:rsidRDefault="003A4303" w:rsidP="00930C1C">
      <w:pPr>
        <w:pStyle w:val="MJAnormal"/>
      </w:pPr>
    </w:p>
    <w:p w:rsidR="003A4303" w:rsidRDefault="003A4303" w:rsidP="003A4303">
      <w:pPr>
        <w:pStyle w:val="Caption"/>
      </w:pPr>
      <w:bookmarkStart w:id="66" w:name="_Toc426386571"/>
      <w:r>
        <w:t xml:space="preserve">Table </w:t>
      </w:r>
      <w:r w:rsidR="00C23339">
        <w:fldChar w:fldCharType="begin"/>
      </w:r>
      <w:r w:rsidR="00134558">
        <w:instrText xml:space="preserve"> SEQ Table \* ARABIC </w:instrText>
      </w:r>
      <w:r w:rsidR="00C23339">
        <w:fldChar w:fldCharType="separate"/>
      </w:r>
      <w:r w:rsidR="00E00DC7">
        <w:rPr>
          <w:noProof/>
        </w:rPr>
        <w:t>17</w:t>
      </w:r>
      <w:r w:rsidR="00C23339">
        <w:rPr>
          <w:noProof/>
        </w:rPr>
        <w:fldChar w:fldCharType="end"/>
      </w:r>
      <w:r>
        <w:t>: Entitlement market prices and volumes</w:t>
      </w:r>
      <w:bookmarkEnd w:id="66"/>
    </w:p>
    <w:tbl>
      <w:tblPr>
        <w:tblW w:w="0" w:type="auto"/>
        <w:tblLayout w:type="fixed"/>
        <w:tblCellMar>
          <w:left w:w="28" w:type="dxa"/>
          <w:right w:w="28" w:type="dxa"/>
        </w:tblCellMar>
        <w:tblLook w:val="04A0"/>
      </w:tblPr>
      <w:tblGrid>
        <w:gridCol w:w="875"/>
        <w:gridCol w:w="912"/>
        <w:gridCol w:w="868"/>
        <w:gridCol w:w="745"/>
        <w:gridCol w:w="745"/>
        <w:gridCol w:w="746"/>
        <w:gridCol w:w="746"/>
        <w:gridCol w:w="750"/>
        <w:gridCol w:w="850"/>
        <w:gridCol w:w="850"/>
        <w:gridCol w:w="984"/>
      </w:tblGrid>
      <w:tr w:rsidR="00E873CF" w:rsidRPr="00147005" w:rsidTr="00EA394F">
        <w:trPr>
          <w:trHeight w:val="525"/>
        </w:trPr>
        <w:tc>
          <w:tcPr>
            <w:tcW w:w="2655" w:type="dxa"/>
            <w:gridSpan w:val="3"/>
            <w:tcBorders>
              <w:top w:val="nil"/>
              <w:left w:val="nil"/>
              <w:bottom w:val="nil"/>
              <w:right w:val="nil"/>
            </w:tcBorders>
            <w:shd w:val="clear" w:color="000000" w:fill="0093D0"/>
            <w:noWrap/>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3732" w:type="dxa"/>
            <w:gridSpan w:val="5"/>
            <w:tcBorders>
              <w:top w:val="nil"/>
              <w:left w:val="single" w:sz="4" w:space="0" w:color="C5D9F1"/>
              <w:bottom w:val="nil"/>
              <w:right w:val="single" w:sz="4" w:space="0" w:color="C5D9F1"/>
            </w:tcBorders>
            <w:shd w:val="clear" w:color="000000" w:fill="0093D0"/>
            <w:noWrap/>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E873CF" w:rsidRPr="00147005">
              <w:rPr>
                <w:rFonts w:eastAsia="Times New Roman"/>
                <w:b/>
                <w:bCs/>
                <w:color w:val="FFFFFF"/>
                <w:sz w:val="16"/>
                <w:szCs w:val="20"/>
                <w:lang w:eastAsia="en-AU"/>
              </w:rPr>
              <w:t xml:space="preserve"> 2015 Quarter (in $/ML)</w:t>
            </w:r>
          </w:p>
        </w:tc>
        <w:tc>
          <w:tcPr>
            <w:tcW w:w="850" w:type="dxa"/>
            <w:vMerge w:val="restart"/>
            <w:tcBorders>
              <w:top w:val="nil"/>
              <w:left w:val="single" w:sz="4" w:space="0" w:color="C5D9F1"/>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Volume</w:t>
            </w:r>
            <w:r w:rsidR="00E873CF">
              <w:rPr>
                <w:rFonts w:eastAsia="Times New Roman"/>
                <w:b/>
                <w:bCs/>
                <w:color w:val="FFFFFF"/>
                <w:sz w:val="16"/>
                <w:szCs w:val="20"/>
                <w:lang w:eastAsia="en-AU"/>
              </w:rPr>
              <w:t xml:space="preserve"> (ML)</w:t>
            </w:r>
          </w:p>
        </w:tc>
        <w:tc>
          <w:tcPr>
            <w:tcW w:w="850" w:type="dxa"/>
            <w:vMerge w:val="restart"/>
            <w:tcBorders>
              <w:top w:val="nil"/>
              <w:left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 of trades</w:t>
            </w:r>
          </w:p>
        </w:tc>
        <w:tc>
          <w:tcPr>
            <w:tcW w:w="984" w:type="dxa"/>
            <w:vMerge w:val="restart"/>
            <w:tcBorders>
              <w:top w:val="nil"/>
              <w:left w:val="nil"/>
              <w:right w:val="nil"/>
            </w:tcBorders>
            <w:shd w:val="clear" w:color="000000" w:fill="0093D0"/>
            <w:vAlign w:val="center"/>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E873CF" w:rsidRPr="00147005" w:rsidTr="00EA394F">
        <w:trPr>
          <w:trHeight w:val="552"/>
        </w:trPr>
        <w:tc>
          <w:tcPr>
            <w:tcW w:w="875"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912" w:type="dxa"/>
            <w:tcBorders>
              <w:top w:val="nil"/>
              <w:left w:val="nil"/>
              <w:bottom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w:t>
            </w:r>
          </w:p>
        </w:tc>
        <w:tc>
          <w:tcPr>
            <w:tcW w:w="868"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745" w:type="dxa"/>
            <w:tcBorders>
              <w:top w:val="nil"/>
              <w:left w:val="single" w:sz="4" w:space="0" w:color="C5D9F1"/>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745"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746"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746"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750" w:type="dxa"/>
            <w:tcBorders>
              <w:top w:val="nil"/>
              <w:left w:val="nil"/>
              <w:bottom w:val="nil"/>
              <w:right w:val="single" w:sz="4" w:space="0" w:color="C5D9F1"/>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850" w:type="dxa"/>
            <w:vMerge/>
            <w:tcBorders>
              <w:left w:val="single" w:sz="4" w:space="0" w:color="C5D9F1"/>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850" w:type="dxa"/>
            <w:vMerge/>
            <w:tcBorders>
              <w:left w:val="nil"/>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984" w:type="dxa"/>
            <w:vMerge/>
            <w:tcBorders>
              <w:left w:val="nil"/>
              <w:bottom w:val="nil"/>
              <w:right w:val="nil"/>
            </w:tcBorders>
          </w:tcPr>
          <w:p w:rsidR="00E873CF" w:rsidRPr="00147005" w:rsidRDefault="00E873CF" w:rsidP="00E873CF">
            <w:pPr>
              <w:spacing w:after="0" w:line="240" w:lineRule="auto"/>
              <w:rPr>
                <w:rFonts w:eastAsia="Times New Roman"/>
                <w:b/>
                <w:bCs/>
                <w:color w:val="FFFFFF"/>
                <w:sz w:val="16"/>
                <w:szCs w:val="20"/>
                <w:lang w:eastAsia="en-AU"/>
              </w:rPr>
            </w:pPr>
          </w:p>
        </w:tc>
      </w:tr>
      <w:tr w:rsidR="00E873CF" w:rsidRPr="00217E01" w:rsidTr="00EA394F">
        <w:trPr>
          <w:trHeight w:val="555"/>
        </w:trPr>
        <w:tc>
          <w:tcPr>
            <w:tcW w:w="875" w:type="dxa"/>
            <w:tcBorders>
              <w:top w:val="nil"/>
              <w:left w:val="nil"/>
              <w:bottom w:val="single" w:sz="4" w:space="0" w:color="0093D0"/>
              <w:right w:val="nil"/>
            </w:tcBorders>
            <w:shd w:val="clear" w:color="auto" w:fill="auto"/>
            <w:noWrap/>
            <w:vAlign w:val="center"/>
          </w:tcPr>
          <w:p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912" w:type="dxa"/>
            <w:tcBorders>
              <w:top w:val="nil"/>
              <w:left w:val="nil"/>
              <w:bottom w:val="single" w:sz="4" w:space="0" w:color="0093D0"/>
              <w:right w:val="nil"/>
            </w:tcBorders>
            <w:shd w:val="clear" w:color="auto" w:fill="auto"/>
            <w:noWrap/>
            <w:vAlign w:val="center"/>
          </w:tcPr>
          <w:p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868" w:type="dxa"/>
            <w:tcBorders>
              <w:top w:val="nil"/>
              <w:left w:val="nil"/>
              <w:bottom w:val="single" w:sz="4" w:space="0" w:color="0093D0"/>
              <w:right w:val="nil"/>
            </w:tcBorders>
            <w:shd w:val="clear" w:color="auto" w:fill="auto"/>
            <w:noWrap/>
            <w:vAlign w:val="center"/>
          </w:tcPr>
          <w:p w:rsidR="00E873CF" w:rsidRPr="00217E01" w:rsidRDefault="00DD2EDB" w:rsidP="00E873CF">
            <w:pPr>
              <w:spacing w:after="0" w:line="240" w:lineRule="auto"/>
              <w:jc w:val="center"/>
              <w:rPr>
                <w:rFonts w:eastAsia="Times New Roman"/>
                <w:b/>
                <w:bCs/>
                <w:color w:val="000000"/>
                <w:sz w:val="16"/>
                <w:szCs w:val="20"/>
                <w:lang w:eastAsia="en-AU"/>
              </w:rPr>
            </w:pPr>
            <w:r>
              <w:rPr>
                <w:rFonts w:eastAsia="Times New Roman"/>
                <w:b/>
                <w:bCs/>
                <w:color w:val="000000"/>
                <w:sz w:val="16"/>
                <w:szCs w:val="20"/>
                <w:lang w:eastAsia="en-AU"/>
              </w:rPr>
              <w:t>-</w:t>
            </w:r>
          </w:p>
        </w:tc>
        <w:tc>
          <w:tcPr>
            <w:tcW w:w="745" w:type="dxa"/>
            <w:tcBorders>
              <w:top w:val="nil"/>
              <w:left w:val="nil"/>
              <w:bottom w:val="single" w:sz="4" w:space="0" w:color="0093D0"/>
              <w:right w:val="nil"/>
            </w:tcBorders>
            <w:shd w:val="clear" w:color="auto" w:fill="auto"/>
            <w:noWrap/>
            <w:vAlign w:val="center"/>
          </w:tcPr>
          <w:p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745" w:type="dxa"/>
            <w:tcBorders>
              <w:top w:val="nil"/>
              <w:left w:val="nil"/>
              <w:bottom w:val="single" w:sz="4" w:space="0" w:color="0093D0"/>
              <w:right w:val="nil"/>
            </w:tcBorders>
            <w:shd w:val="clear" w:color="auto" w:fill="auto"/>
            <w:noWrap/>
            <w:vAlign w:val="center"/>
          </w:tcPr>
          <w:p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746" w:type="dxa"/>
            <w:tcBorders>
              <w:top w:val="nil"/>
              <w:left w:val="nil"/>
              <w:bottom w:val="single" w:sz="4" w:space="0" w:color="0093D0"/>
              <w:right w:val="nil"/>
            </w:tcBorders>
            <w:shd w:val="clear" w:color="auto" w:fill="auto"/>
            <w:noWrap/>
            <w:vAlign w:val="center"/>
          </w:tcPr>
          <w:p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746" w:type="dxa"/>
            <w:tcBorders>
              <w:top w:val="nil"/>
              <w:left w:val="nil"/>
              <w:bottom w:val="single" w:sz="4" w:space="0" w:color="0093D0"/>
              <w:right w:val="nil"/>
            </w:tcBorders>
            <w:shd w:val="clear" w:color="auto" w:fill="auto"/>
            <w:noWrap/>
            <w:vAlign w:val="center"/>
          </w:tcPr>
          <w:p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750" w:type="dxa"/>
            <w:tcBorders>
              <w:top w:val="nil"/>
              <w:left w:val="nil"/>
              <w:bottom w:val="single" w:sz="4" w:space="0" w:color="0093D0"/>
              <w:right w:val="nil"/>
            </w:tcBorders>
            <w:shd w:val="clear" w:color="auto" w:fill="auto"/>
            <w:noWrap/>
            <w:vAlign w:val="center"/>
          </w:tcPr>
          <w:p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850" w:type="dxa"/>
            <w:tcBorders>
              <w:top w:val="nil"/>
              <w:left w:val="nil"/>
              <w:bottom w:val="single" w:sz="4" w:space="0" w:color="0093D0"/>
              <w:right w:val="nil"/>
            </w:tcBorders>
            <w:shd w:val="clear" w:color="auto" w:fill="auto"/>
            <w:noWrap/>
            <w:vAlign w:val="center"/>
          </w:tcPr>
          <w:p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850" w:type="dxa"/>
            <w:tcBorders>
              <w:top w:val="nil"/>
              <w:left w:val="nil"/>
              <w:bottom w:val="single" w:sz="4" w:space="0" w:color="0093D0"/>
              <w:right w:val="nil"/>
            </w:tcBorders>
            <w:shd w:val="clear" w:color="auto" w:fill="auto"/>
            <w:noWrap/>
            <w:vAlign w:val="center"/>
          </w:tcPr>
          <w:p w:rsidR="00E873CF" w:rsidRPr="00217E01" w:rsidRDefault="00E873CF" w:rsidP="00E873CF">
            <w:pPr>
              <w:spacing w:after="0" w:line="240" w:lineRule="auto"/>
              <w:jc w:val="center"/>
              <w:rPr>
                <w:rFonts w:eastAsia="Times New Roman"/>
                <w:bCs/>
                <w:color w:val="000000"/>
                <w:sz w:val="16"/>
                <w:szCs w:val="20"/>
                <w:lang w:eastAsia="en-AU"/>
              </w:rPr>
            </w:pPr>
            <w:r>
              <w:rPr>
                <w:rFonts w:eastAsia="Times New Roman"/>
                <w:bCs/>
                <w:color w:val="000000"/>
                <w:sz w:val="16"/>
                <w:szCs w:val="20"/>
                <w:lang w:eastAsia="en-AU"/>
              </w:rPr>
              <w:t>-</w:t>
            </w:r>
          </w:p>
        </w:tc>
        <w:tc>
          <w:tcPr>
            <w:tcW w:w="984" w:type="dxa"/>
            <w:tcBorders>
              <w:top w:val="nil"/>
              <w:left w:val="nil"/>
              <w:bottom w:val="single" w:sz="4" w:space="0" w:color="0093D0"/>
              <w:right w:val="nil"/>
            </w:tcBorders>
            <w:vAlign w:val="center"/>
          </w:tcPr>
          <w:p w:rsidR="00E873CF" w:rsidRPr="00217E01" w:rsidRDefault="00E873CF" w:rsidP="00E873CF">
            <w:pPr>
              <w:spacing w:after="0" w:line="240" w:lineRule="auto"/>
              <w:jc w:val="center"/>
              <w:rPr>
                <w:rFonts w:eastAsia="Times New Roman"/>
                <w:bCs/>
                <w:color w:val="000000"/>
                <w:sz w:val="16"/>
                <w:szCs w:val="20"/>
                <w:lang w:eastAsia="en-AU"/>
              </w:rPr>
            </w:pPr>
            <w:r w:rsidRPr="00217E01">
              <w:rPr>
                <w:rFonts w:eastAsia="Times New Roman"/>
                <w:bCs/>
                <w:color w:val="000000"/>
                <w:sz w:val="16"/>
                <w:szCs w:val="20"/>
                <w:lang w:eastAsia="en-AU"/>
              </w:rPr>
              <w:t>No listings</w:t>
            </w:r>
          </w:p>
        </w:tc>
      </w:tr>
    </w:tbl>
    <w:p w:rsidR="003A4303" w:rsidRDefault="003A4303" w:rsidP="00930C1C">
      <w:pPr>
        <w:pStyle w:val="MJAnormal"/>
      </w:pPr>
    </w:p>
    <w:p w:rsidR="002D50B8" w:rsidRDefault="002D50B8" w:rsidP="002D50B8">
      <w:pPr>
        <w:pStyle w:val="MJAsource"/>
        <w:rPr>
          <w:sz w:val="16"/>
        </w:rPr>
      </w:pPr>
      <w:r w:rsidRPr="00074B0E">
        <w:rPr>
          <w:b/>
          <w:sz w:val="16"/>
          <w:szCs w:val="16"/>
        </w:rPr>
        <w:t xml:space="preserve">Data Sources: </w:t>
      </w:r>
      <w:r w:rsidRPr="00074B0E">
        <w:rPr>
          <w:sz w:val="16"/>
          <w:szCs w:val="16"/>
        </w:rPr>
        <w:t>NSW Water Register</w:t>
      </w:r>
      <w:r w:rsidRPr="00564276">
        <w:rPr>
          <w:sz w:val="16"/>
        </w:rPr>
        <w:t xml:space="preserve"> (</w:t>
      </w:r>
      <w:hyperlink r:id="rId100" w:history="1">
        <w:r w:rsidRPr="00564276">
          <w:rPr>
            <w:rStyle w:val="Hyperlink"/>
            <w:color w:val="auto"/>
            <w:sz w:val="16"/>
          </w:rPr>
          <w:t>http://registers.water.nsw.gov.au/wma/WaterShareIntraWSLocSearch.jsp?selectedRegister=WaterShare</w:t>
        </w:r>
      </w:hyperlink>
      <w:r>
        <w:rPr>
          <w:rStyle w:val="Hyperlink"/>
          <w:color w:val="auto"/>
          <w:sz w:val="16"/>
        </w:rPr>
        <w:t xml:space="preserve">, </w:t>
      </w:r>
      <w:r w:rsidRPr="00564276">
        <w:rPr>
          <w:rStyle w:val="Hyperlink"/>
          <w:color w:val="auto"/>
          <w:sz w:val="16"/>
        </w:rPr>
        <w:t>http://www.water.nsw.gov.au/water-licensing/registers</w:t>
      </w:r>
      <w:r w:rsidR="000A37A8">
        <w:rPr>
          <w:sz w:val="16"/>
        </w:rPr>
        <w:t xml:space="preserve">), National Water Exchange </w:t>
      </w:r>
      <w:r w:rsidR="000A37A8" w:rsidRPr="00F17E80">
        <w:rPr>
          <w:sz w:val="16"/>
        </w:rPr>
        <w:t>(</w:t>
      </w:r>
      <w:hyperlink r:id="rId101" w:history="1">
        <w:r w:rsidR="000A37A8" w:rsidRPr="00631B5E">
          <w:rPr>
            <w:rStyle w:val="Hyperlink"/>
            <w:sz w:val="16"/>
          </w:rPr>
          <w:t>www.waterexchange.com.au</w:t>
        </w:r>
      </w:hyperlink>
      <w:r w:rsidR="000A37A8" w:rsidRPr="00F17E80">
        <w:rPr>
          <w:sz w:val="16"/>
        </w:rPr>
        <w:t xml:space="preserve">), </w:t>
      </w:r>
      <w:proofErr w:type="spellStart"/>
      <w:r w:rsidR="000A37A8" w:rsidRPr="00F17E80">
        <w:rPr>
          <w:sz w:val="16"/>
        </w:rPr>
        <w:t>Waterfind</w:t>
      </w:r>
      <w:proofErr w:type="spellEnd"/>
      <w:r w:rsidR="000A37A8" w:rsidRPr="00F17E80">
        <w:rPr>
          <w:sz w:val="16"/>
        </w:rPr>
        <w:t xml:space="preserve"> (</w:t>
      </w:r>
      <w:hyperlink r:id="rId102" w:history="1">
        <w:r w:rsidR="000A37A8" w:rsidRPr="00F17E80">
          <w:rPr>
            <w:rStyle w:val="Hyperlink"/>
            <w:sz w:val="16"/>
          </w:rPr>
          <w:t>www.waterfind.com.au</w:t>
        </w:r>
      </w:hyperlink>
      <w:r w:rsidR="000A37A8" w:rsidRPr="00F17E80">
        <w:rPr>
          <w:sz w:val="16"/>
        </w:rPr>
        <w:t>)</w:t>
      </w:r>
      <w:r w:rsidR="000A37A8">
        <w:rPr>
          <w:sz w:val="16"/>
        </w:rPr>
        <w:t>, H2OX (</w:t>
      </w:r>
      <w:hyperlink r:id="rId103" w:history="1">
        <w:r w:rsidR="000A37A8" w:rsidRPr="00631B5E">
          <w:rPr>
            <w:rStyle w:val="Hyperlink"/>
            <w:sz w:val="16"/>
          </w:rPr>
          <w:t>www.h2ox.com</w:t>
        </w:r>
      </w:hyperlink>
      <w:r w:rsidR="000A37A8">
        <w:rPr>
          <w:sz w:val="16"/>
        </w:rPr>
        <w:t>)</w:t>
      </w:r>
    </w:p>
    <w:p w:rsidR="003A4303" w:rsidRDefault="003A4303" w:rsidP="00930C1C">
      <w:pPr>
        <w:rPr>
          <w:sz w:val="18"/>
        </w:rPr>
      </w:pPr>
      <w:r>
        <w:rPr>
          <w:sz w:val="18"/>
        </w:rPr>
        <w:br w:type="page"/>
      </w:r>
    </w:p>
    <w:p w:rsidR="004847DC" w:rsidRDefault="004847DC" w:rsidP="00EE00DE">
      <w:pPr>
        <w:pStyle w:val="MJAheading1"/>
      </w:pPr>
      <w:bookmarkStart w:id="67" w:name="_Toc441834759"/>
      <w:r>
        <w:t>Northern Murray-Darling Basin</w:t>
      </w:r>
      <w:bookmarkEnd w:id="67"/>
    </w:p>
    <w:p w:rsidR="004847DC" w:rsidRDefault="004847DC" w:rsidP="004847DC">
      <w:pPr>
        <w:pStyle w:val="Caption"/>
      </w:pPr>
      <w:bookmarkStart w:id="68" w:name="_Toc426386649"/>
      <w:r>
        <w:t xml:space="preserve">Figure </w:t>
      </w:r>
      <w:r w:rsidR="00C23339">
        <w:fldChar w:fldCharType="begin"/>
      </w:r>
      <w:r w:rsidR="00134558">
        <w:instrText xml:space="preserve"> SEQ Figure \* ARABIC </w:instrText>
      </w:r>
      <w:r w:rsidR="00C23339">
        <w:fldChar w:fldCharType="separate"/>
      </w:r>
      <w:r w:rsidR="00E00DC7">
        <w:rPr>
          <w:noProof/>
        </w:rPr>
        <w:t>33</w:t>
      </w:r>
      <w:r w:rsidR="00C23339">
        <w:rPr>
          <w:noProof/>
        </w:rPr>
        <w:fldChar w:fldCharType="end"/>
      </w:r>
      <w:r>
        <w:t>: Price correlation in the Northern Basin: General Security</w:t>
      </w:r>
      <w:bookmarkEnd w:id="68"/>
    </w:p>
    <w:p w:rsidR="0039071F" w:rsidRPr="0039071F" w:rsidRDefault="0039071F" w:rsidP="0039071F">
      <w:pPr>
        <w:pStyle w:val="MJAnormal"/>
      </w:pPr>
      <w:r>
        <w:rPr>
          <w:noProof/>
          <w:lang w:eastAsia="en-AU"/>
        </w:rPr>
        <w:drawing>
          <wp:inline distT="0" distB="0" distL="0" distR="0">
            <wp:extent cx="5760000" cy="384796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3847962"/>
                    </a:xfrm>
                    <a:prstGeom prst="rect">
                      <a:avLst/>
                    </a:prstGeom>
                    <a:noFill/>
                  </pic:spPr>
                </pic:pic>
              </a:graphicData>
            </a:graphic>
          </wp:inline>
        </w:drawing>
      </w:r>
    </w:p>
    <w:p w:rsidR="006463B7" w:rsidRDefault="006463B7" w:rsidP="006463B7">
      <w:pPr>
        <w:pStyle w:val="MJAsource"/>
      </w:pPr>
      <w:r>
        <w:t>Source: Marsden Jacob analysis, 20</w:t>
      </w:r>
      <w:r w:rsidR="002F5EE4">
        <w:t>16</w:t>
      </w:r>
    </w:p>
    <w:p w:rsidR="006463B7" w:rsidRDefault="006463B7" w:rsidP="006463B7">
      <w:pPr>
        <w:pStyle w:val="MJAsource"/>
      </w:pPr>
      <w:r>
        <w:t>Note: Zero values have been interpolated in this chart so it differs from the region and entitlement specific charts.</w:t>
      </w:r>
    </w:p>
    <w:p w:rsidR="004847DC" w:rsidRDefault="004847DC" w:rsidP="006463B7">
      <w:pPr>
        <w:rPr>
          <w:rFonts w:eastAsia="Times New Roman"/>
        </w:rPr>
      </w:pPr>
      <w:r>
        <w:br w:type="page"/>
      </w:r>
    </w:p>
    <w:p w:rsidR="00EE00DE" w:rsidRDefault="00EE00DE" w:rsidP="00EE00DE">
      <w:pPr>
        <w:pStyle w:val="MJAheading2"/>
      </w:pPr>
      <w:bookmarkStart w:id="69" w:name="_Toc441834760"/>
      <w:r>
        <w:t>Macquarie: General Security</w:t>
      </w:r>
      <w:bookmarkEnd w:id="69"/>
    </w:p>
    <w:p w:rsidR="00EE00DE" w:rsidRDefault="00EE00DE" w:rsidP="00EE00DE">
      <w:pPr>
        <w:pStyle w:val="Caption"/>
      </w:pPr>
      <w:bookmarkStart w:id="70" w:name="_Toc426386670"/>
      <w:r>
        <w:t xml:space="preserve">Figure </w:t>
      </w:r>
      <w:r w:rsidR="00C23339">
        <w:fldChar w:fldCharType="begin"/>
      </w:r>
      <w:r w:rsidR="00134558">
        <w:instrText xml:space="preserve"> SEQ Figure \* ARABIC </w:instrText>
      </w:r>
      <w:r w:rsidR="00C23339">
        <w:fldChar w:fldCharType="separate"/>
      </w:r>
      <w:r w:rsidR="00E00DC7">
        <w:rPr>
          <w:noProof/>
        </w:rPr>
        <w:t>34</w:t>
      </w:r>
      <w:r w:rsidR="00C23339">
        <w:rPr>
          <w:noProof/>
        </w:rPr>
        <w:fldChar w:fldCharType="end"/>
      </w:r>
      <w:r>
        <w:t>: Entitlement market prices and volumes</w:t>
      </w:r>
      <w:bookmarkEnd w:id="70"/>
    </w:p>
    <w:p w:rsidR="00EE00DE" w:rsidRPr="0039071F" w:rsidRDefault="0039071F" w:rsidP="0039071F">
      <w:pPr>
        <w:pStyle w:val="MJAnormal"/>
      </w:pPr>
      <w:r w:rsidRPr="0039071F">
        <w:rPr>
          <w:noProof/>
          <w:lang w:eastAsia="en-AU"/>
        </w:rPr>
        <w:drawing>
          <wp:inline distT="0" distB="0" distL="0" distR="0">
            <wp:extent cx="5760000" cy="279056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EE00DE" w:rsidRPr="0039071F" w:rsidRDefault="00EE00DE" w:rsidP="0039071F">
      <w:pPr>
        <w:pStyle w:val="MJAnormal"/>
      </w:pPr>
    </w:p>
    <w:p w:rsidR="00EE00DE" w:rsidRDefault="00EE00DE" w:rsidP="00EE00DE">
      <w:pPr>
        <w:pStyle w:val="Caption"/>
      </w:pPr>
      <w:bookmarkStart w:id="71" w:name="_Toc426386611"/>
      <w:r>
        <w:t xml:space="preserve">Table </w:t>
      </w:r>
      <w:r w:rsidR="00C23339">
        <w:fldChar w:fldCharType="begin"/>
      </w:r>
      <w:r w:rsidR="00134558">
        <w:instrText xml:space="preserve"> SEQ Table \* ARABIC </w:instrText>
      </w:r>
      <w:r w:rsidR="00C23339">
        <w:fldChar w:fldCharType="separate"/>
      </w:r>
      <w:r w:rsidR="00E00DC7">
        <w:rPr>
          <w:noProof/>
        </w:rPr>
        <w:t>18</w:t>
      </w:r>
      <w:r w:rsidR="00C23339">
        <w:rPr>
          <w:noProof/>
        </w:rPr>
        <w:fldChar w:fldCharType="end"/>
      </w:r>
      <w:r>
        <w:t>: Entitlement market prices and volumes</w:t>
      </w:r>
      <w:bookmarkEnd w:id="71"/>
    </w:p>
    <w:tbl>
      <w:tblPr>
        <w:tblW w:w="5000" w:type="pct"/>
        <w:tblCellMar>
          <w:left w:w="28" w:type="dxa"/>
          <w:right w:w="28" w:type="dxa"/>
        </w:tblCellMar>
        <w:tblLook w:val="04A0"/>
      </w:tblPr>
      <w:tblGrid>
        <w:gridCol w:w="883"/>
        <w:gridCol w:w="917"/>
        <w:gridCol w:w="873"/>
        <w:gridCol w:w="748"/>
        <w:gridCol w:w="748"/>
        <w:gridCol w:w="748"/>
        <w:gridCol w:w="748"/>
        <w:gridCol w:w="761"/>
        <w:gridCol w:w="856"/>
        <w:gridCol w:w="856"/>
        <w:gridCol w:w="989"/>
      </w:tblGrid>
      <w:tr w:rsidR="00E873CF" w:rsidRPr="00147005" w:rsidTr="008B6FB2">
        <w:trPr>
          <w:trHeight w:val="525"/>
        </w:trPr>
        <w:tc>
          <w:tcPr>
            <w:tcW w:w="1463" w:type="pct"/>
            <w:gridSpan w:val="3"/>
            <w:tcBorders>
              <w:top w:val="nil"/>
              <w:left w:val="nil"/>
              <w:bottom w:val="nil"/>
              <w:right w:val="nil"/>
            </w:tcBorders>
            <w:shd w:val="clear" w:color="000000" w:fill="0093D0"/>
            <w:noWrap/>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55" w:type="pct"/>
            <w:gridSpan w:val="5"/>
            <w:tcBorders>
              <w:top w:val="nil"/>
              <w:left w:val="single" w:sz="4" w:space="0" w:color="C5D9F1"/>
              <w:bottom w:val="nil"/>
              <w:right w:val="single" w:sz="4" w:space="0" w:color="C5D9F1"/>
            </w:tcBorders>
            <w:shd w:val="clear" w:color="000000" w:fill="0093D0"/>
            <w:noWrap/>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E873CF" w:rsidRPr="00147005">
              <w:rPr>
                <w:rFonts w:eastAsia="Times New Roman"/>
                <w:b/>
                <w:bCs/>
                <w:color w:val="FFFFFF"/>
                <w:sz w:val="16"/>
                <w:szCs w:val="20"/>
                <w:lang w:eastAsia="en-AU"/>
              </w:rPr>
              <w:t xml:space="preserve"> 2015 Quarter (in $/ML)</w:t>
            </w:r>
          </w:p>
        </w:tc>
        <w:tc>
          <w:tcPr>
            <w:tcW w:w="469" w:type="pct"/>
            <w:vMerge w:val="restart"/>
            <w:tcBorders>
              <w:top w:val="nil"/>
              <w:left w:val="single" w:sz="4" w:space="0" w:color="C5D9F1"/>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Volume</w:t>
            </w:r>
            <w:r w:rsidR="00E873CF">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 of trades</w:t>
            </w:r>
          </w:p>
        </w:tc>
        <w:tc>
          <w:tcPr>
            <w:tcW w:w="543" w:type="pct"/>
            <w:vMerge w:val="restart"/>
            <w:tcBorders>
              <w:top w:val="nil"/>
              <w:left w:val="nil"/>
              <w:right w:val="nil"/>
            </w:tcBorders>
            <w:shd w:val="clear" w:color="000000" w:fill="0093D0"/>
            <w:vAlign w:val="center"/>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E873CF" w:rsidRPr="00147005" w:rsidTr="008B6FB2">
        <w:trPr>
          <w:trHeight w:val="552"/>
        </w:trPr>
        <w:tc>
          <w:tcPr>
            <w:tcW w:w="483"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502" w:type="pct"/>
            <w:tcBorders>
              <w:top w:val="nil"/>
              <w:left w:val="nil"/>
              <w:bottom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w:t>
            </w:r>
          </w:p>
        </w:tc>
        <w:tc>
          <w:tcPr>
            <w:tcW w:w="478"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0" w:type="pct"/>
            <w:tcBorders>
              <w:top w:val="nil"/>
              <w:left w:val="single" w:sz="4" w:space="0" w:color="C5D9F1"/>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0"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0"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0"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7" w:type="pct"/>
            <w:tcBorders>
              <w:top w:val="nil"/>
              <w:left w:val="nil"/>
              <w:bottom w:val="nil"/>
              <w:right w:val="single" w:sz="4" w:space="0" w:color="C5D9F1"/>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543" w:type="pct"/>
            <w:vMerge/>
            <w:tcBorders>
              <w:left w:val="nil"/>
              <w:bottom w:val="nil"/>
              <w:right w:val="nil"/>
            </w:tcBorders>
          </w:tcPr>
          <w:p w:rsidR="00E873CF" w:rsidRPr="00147005" w:rsidRDefault="00E873CF" w:rsidP="00E873CF">
            <w:pPr>
              <w:spacing w:after="0" w:line="240" w:lineRule="auto"/>
              <w:rPr>
                <w:rFonts w:eastAsia="Times New Roman"/>
                <w:b/>
                <w:bCs/>
                <w:color w:val="FFFFFF"/>
                <w:sz w:val="16"/>
                <w:szCs w:val="20"/>
                <w:lang w:eastAsia="en-AU"/>
              </w:rPr>
            </w:pPr>
          </w:p>
        </w:tc>
      </w:tr>
      <w:tr w:rsidR="008B6FB2" w:rsidRPr="00147005" w:rsidTr="008B6FB2">
        <w:trPr>
          <w:trHeight w:val="555"/>
        </w:trPr>
        <w:tc>
          <w:tcPr>
            <w:tcW w:w="483" w:type="pct"/>
            <w:tcBorders>
              <w:top w:val="nil"/>
              <w:left w:val="nil"/>
              <w:bottom w:val="single" w:sz="4" w:space="0" w:color="0093D0"/>
              <w:right w:val="nil"/>
            </w:tcBorders>
            <w:shd w:val="clear" w:color="auto" w:fill="auto"/>
            <w:noWrap/>
            <w:vAlign w:val="center"/>
          </w:tcPr>
          <w:p w:rsidR="008B6FB2" w:rsidRPr="00217E01" w:rsidRDefault="0039071F" w:rsidP="008B6FB2">
            <w:pPr>
              <w:spacing w:after="0" w:line="240" w:lineRule="auto"/>
              <w:jc w:val="center"/>
              <w:rPr>
                <w:rFonts w:eastAsia="Times New Roman"/>
                <w:bCs/>
                <w:color w:val="000000"/>
                <w:sz w:val="16"/>
                <w:szCs w:val="20"/>
                <w:lang w:eastAsia="en-AU"/>
              </w:rPr>
            </w:pPr>
            <w:r>
              <w:rPr>
                <w:b/>
                <w:bCs/>
                <w:color w:val="000000"/>
                <w:sz w:val="16"/>
                <w:szCs w:val="16"/>
              </w:rPr>
              <w:t>-</w:t>
            </w:r>
          </w:p>
        </w:tc>
        <w:tc>
          <w:tcPr>
            <w:tcW w:w="502" w:type="pct"/>
            <w:tcBorders>
              <w:top w:val="nil"/>
              <w:left w:val="nil"/>
              <w:bottom w:val="single" w:sz="4" w:space="0" w:color="0093D0"/>
              <w:right w:val="nil"/>
            </w:tcBorders>
            <w:shd w:val="clear" w:color="auto" w:fill="auto"/>
            <w:noWrap/>
            <w:vAlign w:val="center"/>
          </w:tcPr>
          <w:p w:rsidR="008B6FB2" w:rsidRPr="00217E01" w:rsidRDefault="0039071F" w:rsidP="008B6FB2">
            <w:pPr>
              <w:spacing w:after="0" w:line="240" w:lineRule="auto"/>
              <w:jc w:val="center"/>
              <w:rPr>
                <w:rFonts w:eastAsia="Times New Roman"/>
                <w:bCs/>
                <w:color w:val="000000"/>
                <w:sz w:val="16"/>
                <w:szCs w:val="20"/>
                <w:lang w:eastAsia="en-AU"/>
              </w:rPr>
            </w:pPr>
            <w:r>
              <w:rPr>
                <w:b/>
                <w:bCs/>
                <w:color w:val="000000"/>
                <w:sz w:val="16"/>
                <w:szCs w:val="16"/>
              </w:rPr>
              <w:t>-</w:t>
            </w:r>
          </w:p>
        </w:tc>
        <w:tc>
          <w:tcPr>
            <w:tcW w:w="478" w:type="pct"/>
            <w:tcBorders>
              <w:top w:val="nil"/>
              <w:left w:val="nil"/>
              <w:bottom w:val="single" w:sz="4" w:space="0" w:color="0093D0"/>
              <w:right w:val="nil"/>
            </w:tcBorders>
            <w:shd w:val="clear" w:color="auto" w:fill="auto"/>
            <w:noWrap/>
            <w:vAlign w:val="center"/>
          </w:tcPr>
          <w:p w:rsidR="008B6FB2" w:rsidRPr="00147005" w:rsidRDefault="008B6FB2" w:rsidP="008B6FB2">
            <w:pPr>
              <w:spacing w:after="0" w:line="240" w:lineRule="auto"/>
              <w:jc w:val="center"/>
              <w:rPr>
                <w:rFonts w:eastAsia="Times New Roman"/>
                <w:b/>
                <w:bCs/>
                <w:color w:val="000000"/>
                <w:sz w:val="16"/>
                <w:szCs w:val="20"/>
                <w:lang w:eastAsia="en-AU"/>
              </w:rPr>
            </w:pPr>
            <w:r>
              <w:rPr>
                <w:b/>
                <w:bCs/>
                <w:color w:val="000000"/>
                <w:sz w:val="16"/>
                <w:szCs w:val="16"/>
              </w:rPr>
              <w:t>929</w:t>
            </w:r>
          </w:p>
        </w:tc>
        <w:tc>
          <w:tcPr>
            <w:tcW w:w="410" w:type="pct"/>
            <w:tcBorders>
              <w:top w:val="nil"/>
              <w:left w:val="nil"/>
              <w:bottom w:val="single" w:sz="4" w:space="0" w:color="0093D0"/>
              <w:right w:val="nil"/>
            </w:tcBorders>
            <w:shd w:val="clear" w:color="auto" w:fill="auto"/>
            <w:noWrap/>
            <w:vAlign w:val="center"/>
          </w:tcPr>
          <w:p w:rsidR="008B6FB2" w:rsidRPr="00147005" w:rsidRDefault="0039071F" w:rsidP="008B6FB2">
            <w:pPr>
              <w:spacing w:after="0" w:line="240" w:lineRule="auto"/>
              <w:jc w:val="center"/>
              <w:rPr>
                <w:rFonts w:eastAsia="Times New Roman"/>
                <w:b/>
                <w:bCs/>
                <w:color w:val="000000"/>
                <w:sz w:val="16"/>
                <w:szCs w:val="20"/>
                <w:lang w:eastAsia="en-AU"/>
              </w:rPr>
            </w:pPr>
            <w:r>
              <w:rPr>
                <w:b/>
                <w:bCs/>
                <w:color w:val="000000"/>
                <w:sz w:val="16"/>
                <w:szCs w:val="16"/>
              </w:rPr>
              <w:t>-</w:t>
            </w:r>
          </w:p>
        </w:tc>
        <w:tc>
          <w:tcPr>
            <w:tcW w:w="410" w:type="pct"/>
            <w:tcBorders>
              <w:top w:val="nil"/>
              <w:left w:val="nil"/>
              <w:bottom w:val="single" w:sz="4" w:space="0" w:color="0093D0"/>
              <w:right w:val="nil"/>
            </w:tcBorders>
            <w:shd w:val="clear" w:color="auto" w:fill="auto"/>
            <w:noWrap/>
            <w:vAlign w:val="center"/>
          </w:tcPr>
          <w:p w:rsidR="008B6FB2" w:rsidRPr="00147005" w:rsidRDefault="0039071F" w:rsidP="008B6FB2">
            <w:pPr>
              <w:spacing w:after="0" w:line="240" w:lineRule="auto"/>
              <w:jc w:val="center"/>
              <w:rPr>
                <w:rFonts w:eastAsia="Times New Roman"/>
                <w:b/>
                <w:bCs/>
                <w:color w:val="000000"/>
                <w:sz w:val="16"/>
                <w:szCs w:val="20"/>
                <w:lang w:eastAsia="en-AU"/>
              </w:rPr>
            </w:pPr>
            <w:r>
              <w:rPr>
                <w:b/>
                <w:bCs/>
                <w:color w:val="000000"/>
                <w:sz w:val="16"/>
                <w:szCs w:val="16"/>
              </w:rPr>
              <w:t>-</w:t>
            </w:r>
          </w:p>
        </w:tc>
        <w:tc>
          <w:tcPr>
            <w:tcW w:w="410" w:type="pct"/>
            <w:tcBorders>
              <w:top w:val="nil"/>
              <w:left w:val="nil"/>
              <w:bottom w:val="single" w:sz="4" w:space="0" w:color="0093D0"/>
              <w:right w:val="nil"/>
            </w:tcBorders>
            <w:shd w:val="clear" w:color="auto" w:fill="auto"/>
            <w:noWrap/>
            <w:vAlign w:val="center"/>
          </w:tcPr>
          <w:p w:rsidR="008B6FB2" w:rsidRPr="00147005" w:rsidRDefault="0039071F" w:rsidP="008B6FB2">
            <w:pPr>
              <w:spacing w:after="0" w:line="240" w:lineRule="auto"/>
              <w:jc w:val="center"/>
              <w:rPr>
                <w:rFonts w:eastAsia="Times New Roman"/>
                <w:b/>
                <w:bCs/>
                <w:color w:val="000000"/>
                <w:sz w:val="16"/>
                <w:szCs w:val="20"/>
                <w:lang w:eastAsia="en-AU"/>
              </w:rPr>
            </w:pPr>
            <w:r>
              <w:rPr>
                <w:b/>
                <w:bCs/>
                <w:color w:val="000000"/>
                <w:sz w:val="16"/>
                <w:szCs w:val="16"/>
              </w:rPr>
              <w:t>-</w:t>
            </w:r>
          </w:p>
        </w:tc>
        <w:tc>
          <w:tcPr>
            <w:tcW w:w="410" w:type="pct"/>
            <w:tcBorders>
              <w:top w:val="nil"/>
              <w:left w:val="nil"/>
              <w:bottom w:val="single" w:sz="4" w:space="0" w:color="0093D0"/>
              <w:right w:val="nil"/>
            </w:tcBorders>
            <w:shd w:val="clear" w:color="auto" w:fill="auto"/>
            <w:noWrap/>
            <w:vAlign w:val="center"/>
          </w:tcPr>
          <w:p w:rsidR="008B6FB2" w:rsidRPr="00147005" w:rsidRDefault="0039071F" w:rsidP="008B6FB2">
            <w:pPr>
              <w:spacing w:after="0" w:line="240" w:lineRule="auto"/>
              <w:jc w:val="center"/>
              <w:rPr>
                <w:rFonts w:eastAsia="Times New Roman"/>
                <w:b/>
                <w:bCs/>
                <w:color w:val="000000"/>
                <w:sz w:val="16"/>
                <w:szCs w:val="20"/>
                <w:lang w:eastAsia="en-AU"/>
              </w:rPr>
            </w:pPr>
            <w:r>
              <w:rPr>
                <w:b/>
                <w:bCs/>
                <w:color w:val="000000"/>
                <w:sz w:val="16"/>
                <w:szCs w:val="16"/>
              </w:rPr>
              <w:t>-</w:t>
            </w:r>
          </w:p>
        </w:tc>
        <w:tc>
          <w:tcPr>
            <w:tcW w:w="417" w:type="pct"/>
            <w:tcBorders>
              <w:top w:val="nil"/>
              <w:left w:val="nil"/>
              <w:bottom w:val="single" w:sz="4" w:space="0" w:color="0093D0"/>
              <w:right w:val="nil"/>
            </w:tcBorders>
            <w:shd w:val="clear" w:color="auto" w:fill="auto"/>
            <w:noWrap/>
            <w:vAlign w:val="center"/>
          </w:tcPr>
          <w:p w:rsidR="008B6FB2" w:rsidRPr="00147005" w:rsidRDefault="00E454FE" w:rsidP="008B6FB2">
            <w:pPr>
              <w:spacing w:after="0" w:line="240" w:lineRule="auto"/>
              <w:jc w:val="center"/>
              <w:rPr>
                <w:rFonts w:eastAsia="Times New Roman"/>
                <w:b/>
                <w:bCs/>
                <w:color w:val="000000"/>
                <w:sz w:val="16"/>
                <w:szCs w:val="20"/>
                <w:lang w:eastAsia="en-AU"/>
              </w:rPr>
            </w:pPr>
            <w:r>
              <w:rPr>
                <w:b/>
                <w:bCs/>
                <w:color w:val="000000"/>
                <w:sz w:val="16"/>
                <w:szCs w:val="16"/>
              </w:rPr>
              <w:t>-</w:t>
            </w:r>
          </w:p>
        </w:tc>
        <w:tc>
          <w:tcPr>
            <w:tcW w:w="469" w:type="pct"/>
            <w:tcBorders>
              <w:top w:val="nil"/>
              <w:left w:val="nil"/>
              <w:bottom w:val="single" w:sz="4" w:space="0" w:color="0093D0"/>
              <w:right w:val="nil"/>
            </w:tcBorders>
            <w:shd w:val="clear" w:color="auto" w:fill="auto"/>
            <w:noWrap/>
            <w:vAlign w:val="center"/>
          </w:tcPr>
          <w:p w:rsidR="008B6FB2" w:rsidRPr="00147005" w:rsidRDefault="0039071F" w:rsidP="008B6FB2">
            <w:pPr>
              <w:spacing w:after="0" w:line="240" w:lineRule="auto"/>
              <w:jc w:val="center"/>
              <w:rPr>
                <w:rFonts w:eastAsia="Times New Roman"/>
                <w:b/>
                <w:bCs/>
                <w:color w:val="000000"/>
                <w:sz w:val="16"/>
                <w:szCs w:val="20"/>
                <w:lang w:eastAsia="en-AU"/>
              </w:rPr>
            </w:pPr>
            <w:r>
              <w:rPr>
                <w:b/>
                <w:bCs/>
                <w:color w:val="000000"/>
                <w:sz w:val="16"/>
                <w:szCs w:val="16"/>
              </w:rPr>
              <w:t>-</w:t>
            </w:r>
          </w:p>
        </w:tc>
        <w:tc>
          <w:tcPr>
            <w:tcW w:w="469" w:type="pct"/>
            <w:tcBorders>
              <w:top w:val="nil"/>
              <w:left w:val="nil"/>
              <w:bottom w:val="single" w:sz="4" w:space="0" w:color="0093D0"/>
              <w:right w:val="nil"/>
            </w:tcBorders>
            <w:shd w:val="clear" w:color="auto" w:fill="auto"/>
            <w:noWrap/>
            <w:vAlign w:val="center"/>
          </w:tcPr>
          <w:p w:rsidR="008B6FB2" w:rsidRPr="00147005" w:rsidRDefault="0039071F" w:rsidP="008B6FB2">
            <w:pPr>
              <w:spacing w:after="0" w:line="240" w:lineRule="auto"/>
              <w:jc w:val="center"/>
              <w:rPr>
                <w:rFonts w:eastAsia="Times New Roman"/>
                <w:b/>
                <w:bCs/>
                <w:color w:val="000000"/>
                <w:sz w:val="16"/>
                <w:szCs w:val="20"/>
                <w:lang w:eastAsia="en-AU"/>
              </w:rPr>
            </w:pPr>
            <w:r>
              <w:rPr>
                <w:b/>
                <w:bCs/>
                <w:color w:val="000000"/>
                <w:sz w:val="16"/>
                <w:szCs w:val="16"/>
              </w:rPr>
              <w:t>-</w:t>
            </w:r>
          </w:p>
        </w:tc>
        <w:tc>
          <w:tcPr>
            <w:tcW w:w="543" w:type="pct"/>
            <w:tcBorders>
              <w:top w:val="nil"/>
              <w:left w:val="nil"/>
              <w:bottom w:val="single" w:sz="4" w:space="0" w:color="0093D0"/>
              <w:right w:val="nil"/>
            </w:tcBorders>
            <w:vAlign w:val="center"/>
          </w:tcPr>
          <w:p w:rsidR="008B6FB2" w:rsidRPr="00147005" w:rsidRDefault="009263A0" w:rsidP="009263A0">
            <w:pPr>
              <w:spacing w:after="0" w:line="240" w:lineRule="auto"/>
              <w:jc w:val="center"/>
              <w:rPr>
                <w:rFonts w:eastAsia="Times New Roman"/>
                <w:b/>
                <w:bCs/>
                <w:color w:val="000000"/>
                <w:sz w:val="16"/>
                <w:szCs w:val="20"/>
                <w:lang w:eastAsia="en-AU"/>
              </w:rPr>
            </w:pPr>
            <w:r>
              <w:rPr>
                <w:rFonts w:eastAsia="Times New Roman"/>
                <w:b/>
                <w:bCs/>
                <w:color w:val="000000"/>
                <w:sz w:val="16"/>
                <w:szCs w:val="20"/>
                <w:lang w:eastAsia="en-AU"/>
              </w:rPr>
              <w:t>1,000</w:t>
            </w:r>
            <w:r w:rsidR="0039071F">
              <w:rPr>
                <w:rFonts w:eastAsia="Times New Roman"/>
                <w:b/>
                <w:bCs/>
                <w:color w:val="000000"/>
                <w:sz w:val="16"/>
                <w:szCs w:val="20"/>
                <w:lang w:eastAsia="en-AU"/>
              </w:rPr>
              <w:t xml:space="preserve"> – 1,100</w:t>
            </w:r>
          </w:p>
        </w:tc>
      </w:tr>
    </w:tbl>
    <w:p w:rsidR="00B144FF" w:rsidRDefault="00B144FF" w:rsidP="0039071F">
      <w:pPr>
        <w:pStyle w:val="MJAnormal"/>
      </w:pPr>
    </w:p>
    <w:p w:rsidR="002D50B8" w:rsidRPr="00564276" w:rsidRDefault="002D50B8" w:rsidP="002D50B8">
      <w:pPr>
        <w:pStyle w:val="MJAsource"/>
        <w:rPr>
          <w:sz w:val="16"/>
        </w:rPr>
      </w:pPr>
      <w:r w:rsidRPr="00074B0E">
        <w:rPr>
          <w:b/>
          <w:sz w:val="16"/>
          <w:szCs w:val="16"/>
        </w:rPr>
        <w:t xml:space="preserve">Data Sources: </w:t>
      </w:r>
      <w:r w:rsidRPr="00074B0E">
        <w:rPr>
          <w:sz w:val="16"/>
          <w:szCs w:val="16"/>
        </w:rPr>
        <w:t>NSW</w:t>
      </w:r>
      <w:r w:rsidRPr="00564276">
        <w:rPr>
          <w:sz w:val="16"/>
        </w:rPr>
        <w:t xml:space="preserve"> Water Register (</w:t>
      </w:r>
      <w:hyperlink r:id="rId106" w:history="1">
        <w:r w:rsidRPr="00564276">
          <w:rPr>
            <w:rStyle w:val="Hyperlink"/>
            <w:color w:val="auto"/>
            <w:sz w:val="16"/>
          </w:rPr>
          <w:t>http://registers.water.nsw.gov.au/wma/WaterShareIntraWSLocSearch.jsp?selectedRegister=WaterShare</w:t>
        </w:r>
      </w:hyperlink>
      <w:r>
        <w:rPr>
          <w:rStyle w:val="Hyperlink"/>
          <w:color w:val="auto"/>
          <w:sz w:val="16"/>
        </w:rPr>
        <w:t xml:space="preserve">, </w:t>
      </w:r>
      <w:r w:rsidRPr="00564276">
        <w:rPr>
          <w:rStyle w:val="Hyperlink"/>
          <w:color w:val="auto"/>
          <w:sz w:val="16"/>
        </w:rPr>
        <w:t>http://www.water.nsw.gov.au/water-licensing/registers</w:t>
      </w:r>
      <w:r w:rsidRPr="00564276">
        <w:rPr>
          <w:sz w:val="16"/>
        </w:rPr>
        <w:t xml:space="preserve">), </w:t>
      </w:r>
      <w:proofErr w:type="spellStart"/>
      <w:r w:rsidRPr="00564276">
        <w:rPr>
          <w:sz w:val="16"/>
        </w:rPr>
        <w:t>Waterfind</w:t>
      </w:r>
      <w:proofErr w:type="spellEnd"/>
      <w:r w:rsidRPr="00564276">
        <w:rPr>
          <w:sz w:val="16"/>
        </w:rPr>
        <w:t xml:space="preserve"> (</w:t>
      </w:r>
      <w:hyperlink r:id="rId107" w:history="1">
        <w:r w:rsidR="000A37A8" w:rsidRPr="00631B5E">
          <w:rPr>
            <w:rStyle w:val="Hyperlink"/>
            <w:sz w:val="16"/>
          </w:rPr>
          <w:t>www.waterfind.com.au</w:t>
        </w:r>
      </w:hyperlink>
      <w:r w:rsidRPr="00564276">
        <w:rPr>
          <w:sz w:val="16"/>
        </w:rPr>
        <w:t>)</w:t>
      </w:r>
      <w:r w:rsidR="000A37A8">
        <w:rPr>
          <w:sz w:val="16"/>
        </w:rPr>
        <w:t xml:space="preserve"> </w:t>
      </w:r>
    </w:p>
    <w:p w:rsidR="00EE00DE" w:rsidRDefault="00EE00DE" w:rsidP="00EE00DE">
      <w:pPr>
        <w:rPr>
          <w:sz w:val="18"/>
        </w:rPr>
      </w:pPr>
      <w:r>
        <w:rPr>
          <w:sz w:val="18"/>
        </w:rPr>
        <w:br w:type="page"/>
      </w:r>
    </w:p>
    <w:p w:rsidR="00EE00DE" w:rsidRDefault="00EE00DE" w:rsidP="00EE00DE">
      <w:pPr>
        <w:pStyle w:val="MJAheading2"/>
      </w:pPr>
      <w:bookmarkStart w:id="72" w:name="_Toc441834761"/>
      <w:r>
        <w:t>Namoi: General Security</w:t>
      </w:r>
      <w:bookmarkEnd w:id="72"/>
    </w:p>
    <w:p w:rsidR="00EE00DE" w:rsidRDefault="00EE00DE" w:rsidP="00EE00DE">
      <w:pPr>
        <w:pStyle w:val="Caption"/>
      </w:pPr>
      <w:bookmarkStart w:id="73" w:name="_Toc426386666"/>
      <w:r>
        <w:t xml:space="preserve">Figure </w:t>
      </w:r>
      <w:r w:rsidR="00C23339">
        <w:fldChar w:fldCharType="begin"/>
      </w:r>
      <w:r w:rsidR="00134558">
        <w:instrText xml:space="preserve"> SEQ Figure \* ARABIC </w:instrText>
      </w:r>
      <w:r w:rsidR="00C23339">
        <w:fldChar w:fldCharType="separate"/>
      </w:r>
      <w:r w:rsidR="00E00DC7">
        <w:rPr>
          <w:noProof/>
        </w:rPr>
        <w:t>35</w:t>
      </w:r>
      <w:r w:rsidR="00C23339">
        <w:rPr>
          <w:noProof/>
        </w:rPr>
        <w:fldChar w:fldCharType="end"/>
      </w:r>
      <w:r>
        <w:t>: Entitlement market prices and volumes</w:t>
      </w:r>
      <w:bookmarkEnd w:id="73"/>
    </w:p>
    <w:p w:rsidR="0039071F" w:rsidRPr="0039071F" w:rsidRDefault="0039071F" w:rsidP="0039071F">
      <w:pPr>
        <w:pStyle w:val="MJAnormal"/>
      </w:pPr>
      <w:r>
        <w:rPr>
          <w:noProof/>
          <w:lang w:eastAsia="en-AU"/>
        </w:rPr>
        <w:drawing>
          <wp:inline distT="0" distB="0" distL="0" distR="0">
            <wp:extent cx="5760000" cy="2790569"/>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EE00DE" w:rsidRDefault="00EE00DE" w:rsidP="0039071F">
      <w:pPr>
        <w:pStyle w:val="MJAnormal"/>
      </w:pPr>
    </w:p>
    <w:p w:rsidR="00EE00DE" w:rsidRDefault="00EE00DE" w:rsidP="00EE00DE">
      <w:pPr>
        <w:pStyle w:val="Caption"/>
      </w:pPr>
      <w:bookmarkStart w:id="74" w:name="_Toc426386607"/>
      <w:r>
        <w:t xml:space="preserve">Table </w:t>
      </w:r>
      <w:r w:rsidR="00C23339">
        <w:fldChar w:fldCharType="begin"/>
      </w:r>
      <w:r w:rsidR="00134558">
        <w:instrText xml:space="preserve"> SEQ Table \* ARABIC </w:instrText>
      </w:r>
      <w:r w:rsidR="00C23339">
        <w:fldChar w:fldCharType="separate"/>
      </w:r>
      <w:r w:rsidR="00E00DC7">
        <w:rPr>
          <w:noProof/>
        </w:rPr>
        <w:t>19</w:t>
      </w:r>
      <w:r w:rsidR="00C23339">
        <w:rPr>
          <w:noProof/>
        </w:rPr>
        <w:fldChar w:fldCharType="end"/>
      </w:r>
      <w:r>
        <w:t>: Entitlement market prices and volumes</w:t>
      </w:r>
      <w:bookmarkEnd w:id="74"/>
    </w:p>
    <w:tbl>
      <w:tblPr>
        <w:tblW w:w="5000" w:type="pct"/>
        <w:tblCellMar>
          <w:left w:w="28" w:type="dxa"/>
          <w:right w:w="28" w:type="dxa"/>
        </w:tblCellMar>
        <w:tblLook w:val="04A0"/>
      </w:tblPr>
      <w:tblGrid>
        <w:gridCol w:w="883"/>
        <w:gridCol w:w="917"/>
        <w:gridCol w:w="874"/>
        <w:gridCol w:w="748"/>
        <w:gridCol w:w="748"/>
        <w:gridCol w:w="748"/>
        <w:gridCol w:w="748"/>
        <w:gridCol w:w="761"/>
        <w:gridCol w:w="856"/>
        <w:gridCol w:w="856"/>
        <w:gridCol w:w="988"/>
      </w:tblGrid>
      <w:tr w:rsidR="00E873CF" w:rsidRPr="00147005" w:rsidTr="0039071F">
        <w:trPr>
          <w:trHeight w:val="525"/>
        </w:trPr>
        <w:tc>
          <w:tcPr>
            <w:tcW w:w="1464" w:type="pct"/>
            <w:gridSpan w:val="3"/>
            <w:tcBorders>
              <w:top w:val="nil"/>
              <w:left w:val="nil"/>
              <w:bottom w:val="nil"/>
              <w:right w:val="nil"/>
            </w:tcBorders>
            <w:shd w:val="clear" w:color="000000" w:fill="0093D0"/>
            <w:noWrap/>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56" w:type="pct"/>
            <w:gridSpan w:val="5"/>
            <w:tcBorders>
              <w:top w:val="nil"/>
              <w:left w:val="single" w:sz="4" w:space="0" w:color="C5D9F1"/>
              <w:bottom w:val="nil"/>
              <w:right w:val="single" w:sz="4" w:space="0" w:color="C5D9F1"/>
            </w:tcBorders>
            <w:shd w:val="clear" w:color="000000" w:fill="0093D0"/>
            <w:noWrap/>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E873CF" w:rsidRPr="00147005">
              <w:rPr>
                <w:rFonts w:eastAsia="Times New Roman"/>
                <w:b/>
                <w:bCs/>
                <w:color w:val="FFFFFF"/>
                <w:sz w:val="16"/>
                <w:szCs w:val="20"/>
                <w:lang w:eastAsia="en-AU"/>
              </w:rPr>
              <w:t xml:space="preserve"> 2015 Quarter (in $/ML)</w:t>
            </w:r>
          </w:p>
        </w:tc>
        <w:tc>
          <w:tcPr>
            <w:tcW w:w="469" w:type="pct"/>
            <w:vMerge w:val="restart"/>
            <w:tcBorders>
              <w:top w:val="nil"/>
              <w:left w:val="single" w:sz="4" w:space="0" w:color="C5D9F1"/>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Volume</w:t>
            </w:r>
            <w:r w:rsidR="00E873CF">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 of trades</w:t>
            </w:r>
          </w:p>
        </w:tc>
        <w:tc>
          <w:tcPr>
            <w:tcW w:w="542" w:type="pct"/>
            <w:vMerge w:val="restart"/>
            <w:tcBorders>
              <w:top w:val="nil"/>
              <w:left w:val="nil"/>
              <w:right w:val="nil"/>
            </w:tcBorders>
            <w:shd w:val="clear" w:color="000000" w:fill="0093D0"/>
            <w:vAlign w:val="center"/>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E873CF" w:rsidRPr="00147005" w:rsidTr="008B6FB2">
        <w:trPr>
          <w:trHeight w:val="552"/>
        </w:trPr>
        <w:tc>
          <w:tcPr>
            <w:tcW w:w="483"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502" w:type="pct"/>
            <w:tcBorders>
              <w:top w:val="nil"/>
              <w:left w:val="nil"/>
              <w:bottom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w:t>
            </w:r>
          </w:p>
        </w:tc>
        <w:tc>
          <w:tcPr>
            <w:tcW w:w="478"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0" w:type="pct"/>
            <w:tcBorders>
              <w:top w:val="nil"/>
              <w:left w:val="single" w:sz="4" w:space="0" w:color="C5D9F1"/>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0"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0"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0"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7" w:type="pct"/>
            <w:tcBorders>
              <w:top w:val="nil"/>
              <w:left w:val="nil"/>
              <w:bottom w:val="nil"/>
              <w:right w:val="single" w:sz="4" w:space="0" w:color="C5D9F1"/>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543" w:type="pct"/>
            <w:vMerge/>
            <w:tcBorders>
              <w:left w:val="nil"/>
              <w:bottom w:val="nil"/>
              <w:right w:val="nil"/>
            </w:tcBorders>
          </w:tcPr>
          <w:p w:rsidR="00E873CF" w:rsidRPr="00147005" w:rsidRDefault="00E873CF" w:rsidP="00E873CF">
            <w:pPr>
              <w:spacing w:after="0" w:line="240" w:lineRule="auto"/>
              <w:rPr>
                <w:rFonts w:eastAsia="Times New Roman"/>
                <w:b/>
                <w:bCs/>
                <w:color w:val="FFFFFF"/>
                <w:sz w:val="16"/>
                <w:szCs w:val="20"/>
                <w:lang w:eastAsia="en-AU"/>
              </w:rPr>
            </w:pPr>
          </w:p>
        </w:tc>
      </w:tr>
      <w:tr w:rsidR="0039071F" w:rsidRPr="00147005" w:rsidTr="008B6FB2">
        <w:trPr>
          <w:trHeight w:val="555"/>
        </w:trPr>
        <w:tc>
          <w:tcPr>
            <w:tcW w:w="483" w:type="pct"/>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lang w:eastAsia="en-AU"/>
              </w:rPr>
            </w:pPr>
            <w:r>
              <w:rPr>
                <w:b/>
                <w:bCs/>
                <w:color w:val="000000"/>
                <w:sz w:val="16"/>
                <w:szCs w:val="16"/>
              </w:rPr>
              <w:t>-</w:t>
            </w:r>
          </w:p>
        </w:tc>
        <w:tc>
          <w:tcPr>
            <w:tcW w:w="502" w:type="pct"/>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rPr>
            </w:pPr>
            <w:r>
              <w:rPr>
                <w:b/>
                <w:bCs/>
                <w:color w:val="000000"/>
                <w:sz w:val="16"/>
                <w:szCs w:val="16"/>
              </w:rPr>
              <w:t>1,950</w:t>
            </w:r>
          </w:p>
        </w:tc>
        <w:tc>
          <w:tcPr>
            <w:tcW w:w="478" w:type="pct"/>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rPr>
            </w:pPr>
            <w:r>
              <w:rPr>
                <w:b/>
                <w:bCs/>
                <w:color w:val="000000"/>
                <w:sz w:val="16"/>
                <w:szCs w:val="16"/>
              </w:rPr>
              <w:t>1,856</w:t>
            </w:r>
          </w:p>
        </w:tc>
        <w:tc>
          <w:tcPr>
            <w:tcW w:w="410" w:type="pct"/>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rPr>
            </w:pPr>
            <w:r>
              <w:rPr>
                <w:b/>
                <w:bCs/>
                <w:color w:val="000000"/>
                <w:sz w:val="16"/>
                <w:szCs w:val="16"/>
              </w:rPr>
              <w:t>-</w:t>
            </w:r>
          </w:p>
        </w:tc>
        <w:tc>
          <w:tcPr>
            <w:tcW w:w="410" w:type="pct"/>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rPr>
            </w:pPr>
            <w:r>
              <w:rPr>
                <w:b/>
                <w:bCs/>
                <w:color w:val="000000"/>
                <w:sz w:val="16"/>
                <w:szCs w:val="16"/>
              </w:rPr>
              <w:t>-</w:t>
            </w:r>
          </w:p>
        </w:tc>
        <w:tc>
          <w:tcPr>
            <w:tcW w:w="410" w:type="pct"/>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rPr>
            </w:pPr>
            <w:r>
              <w:rPr>
                <w:b/>
                <w:bCs/>
                <w:color w:val="000000"/>
                <w:sz w:val="16"/>
                <w:szCs w:val="16"/>
              </w:rPr>
              <w:t>-</w:t>
            </w:r>
          </w:p>
        </w:tc>
        <w:tc>
          <w:tcPr>
            <w:tcW w:w="410" w:type="pct"/>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rPr>
            </w:pPr>
            <w:r>
              <w:rPr>
                <w:b/>
                <w:bCs/>
                <w:color w:val="000000"/>
                <w:sz w:val="16"/>
                <w:szCs w:val="16"/>
              </w:rPr>
              <w:t>-</w:t>
            </w:r>
          </w:p>
        </w:tc>
        <w:tc>
          <w:tcPr>
            <w:tcW w:w="417" w:type="pct"/>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rPr>
            </w:pPr>
            <w:r>
              <w:rPr>
                <w:b/>
                <w:bCs/>
                <w:color w:val="000000"/>
                <w:sz w:val="16"/>
                <w:szCs w:val="16"/>
              </w:rPr>
              <w:t>-</w:t>
            </w:r>
          </w:p>
        </w:tc>
        <w:tc>
          <w:tcPr>
            <w:tcW w:w="469" w:type="pct"/>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rPr>
            </w:pPr>
            <w:r>
              <w:rPr>
                <w:b/>
                <w:bCs/>
                <w:color w:val="000000"/>
                <w:sz w:val="16"/>
                <w:szCs w:val="16"/>
              </w:rPr>
              <w:t>1,266</w:t>
            </w:r>
          </w:p>
        </w:tc>
        <w:tc>
          <w:tcPr>
            <w:tcW w:w="469" w:type="pct"/>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rPr>
            </w:pPr>
            <w:r>
              <w:rPr>
                <w:b/>
                <w:bCs/>
                <w:color w:val="000000"/>
                <w:sz w:val="16"/>
                <w:szCs w:val="16"/>
              </w:rPr>
              <w:t>1</w:t>
            </w:r>
          </w:p>
        </w:tc>
        <w:tc>
          <w:tcPr>
            <w:tcW w:w="543" w:type="pct"/>
            <w:tcBorders>
              <w:top w:val="nil"/>
              <w:left w:val="nil"/>
              <w:bottom w:val="single" w:sz="4" w:space="0" w:color="0093D0"/>
              <w:right w:val="nil"/>
            </w:tcBorders>
            <w:vAlign w:val="center"/>
          </w:tcPr>
          <w:p w:rsidR="0039071F" w:rsidRPr="0039071F" w:rsidRDefault="0039071F" w:rsidP="0039071F">
            <w:pPr>
              <w:spacing w:after="0" w:line="240" w:lineRule="auto"/>
              <w:jc w:val="center"/>
              <w:rPr>
                <w:rFonts w:eastAsia="Times New Roman"/>
                <w:bCs/>
                <w:color w:val="000000"/>
                <w:sz w:val="16"/>
                <w:szCs w:val="20"/>
                <w:lang w:eastAsia="en-AU"/>
              </w:rPr>
            </w:pPr>
            <w:r w:rsidRPr="0039071F">
              <w:rPr>
                <w:rFonts w:eastAsia="Times New Roman"/>
                <w:bCs/>
                <w:color w:val="000000"/>
                <w:sz w:val="16"/>
                <w:szCs w:val="20"/>
                <w:lang w:eastAsia="en-AU"/>
              </w:rPr>
              <w:t>No listings</w:t>
            </w:r>
          </w:p>
        </w:tc>
      </w:tr>
    </w:tbl>
    <w:p w:rsidR="00EE00DE" w:rsidRDefault="00EE00DE" w:rsidP="00EE00DE">
      <w:pPr>
        <w:pStyle w:val="MJAnormal"/>
      </w:pPr>
    </w:p>
    <w:p w:rsidR="00EE00DE" w:rsidRPr="00F17E80" w:rsidRDefault="002D50B8" w:rsidP="00EE00DE">
      <w:pPr>
        <w:tabs>
          <w:tab w:val="center" w:pos="4252"/>
        </w:tabs>
        <w:spacing w:after="0"/>
        <w:rPr>
          <w:i/>
          <w:sz w:val="16"/>
          <w:szCs w:val="18"/>
        </w:rPr>
      </w:pPr>
      <w:r w:rsidRPr="00074B0E">
        <w:rPr>
          <w:b/>
          <w:i/>
          <w:sz w:val="16"/>
          <w:szCs w:val="16"/>
        </w:rPr>
        <w:t xml:space="preserve">Data Sources: </w:t>
      </w:r>
      <w:r w:rsidRPr="00074B0E">
        <w:rPr>
          <w:i/>
          <w:sz w:val="16"/>
          <w:szCs w:val="16"/>
        </w:rPr>
        <w:t>NSW Water</w:t>
      </w:r>
      <w:r w:rsidRPr="00EA394F">
        <w:rPr>
          <w:i/>
          <w:sz w:val="16"/>
          <w:szCs w:val="16"/>
        </w:rPr>
        <w:t xml:space="preserve"> Register (</w:t>
      </w:r>
      <w:hyperlink r:id="rId109" w:history="1">
        <w:r w:rsidRPr="00EA394F">
          <w:rPr>
            <w:rStyle w:val="Hyperlink"/>
            <w:i/>
            <w:color w:val="auto"/>
            <w:sz w:val="16"/>
            <w:szCs w:val="16"/>
          </w:rPr>
          <w:t>http://registers.water.nsw.gov.au/wma/WaterShareIntraWSLocSearch.jsp?selectedRegister=WaterShare</w:t>
        </w:r>
      </w:hyperlink>
      <w:r w:rsidRPr="00EA394F">
        <w:rPr>
          <w:rStyle w:val="Hyperlink"/>
          <w:i/>
          <w:color w:val="auto"/>
          <w:sz w:val="16"/>
          <w:szCs w:val="16"/>
        </w:rPr>
        <w:t>, http://www.water.nsw.gov.au/water-licensing/registers</w:t>
      </w:r>
      <w:r w:rsidRPr="00EA394F">
        <w:rPr>
          <w:i/>
          <w:sz w:val="16"/>
          <w:szCs w:val="16"/>
        </w:rPr>
        <w:t xml:space="preserve">), </w:t>
      </w:r>
      <w:proofErr w:type="spellStart"/>
      <w:r w:rsidRPr="00EA394F">
        <w:rPr>
          <w:i/>
          <w:sz w:val="16"/>
          <w:szCs w:val="16"/>
        </w:rPr>
        <w:t>Waterfind</w:t>
      </w:r>
      <w:proofErr w:type="spellEnd"/>
      <w:r w:rsidRPr="00EA394F">
        <w:rPr>
          <w:i/>
          <w:sz w:val="16"/>
          <w:szCs w:val="16"/>
        </w:rPr>
        <w:t xml:space="preserve"> (</w:t>
      </w:r>
      <w:hyperlink r:id="rId110" w:history="1">
        <w:r w:rsidR="000A37A8" w:rsidRPr="00631B5E">
          <w:rPr>
            <w:rStyle w:val="Hyperlink"/>
            <w:i/>
            <w:sz w:val="16"/>
            <w:szCs w:val="16"/>
          </w:rPr>
          <w:t>www.waterfind.com.au</w:t>
        </w:r>
      </w:hyperlink>
      <w:r w:rsidRPr="00EA394F">
        <w:rPr>
          <w:i/>
          <w:sz w:val="16"/>
          <w:szCs w:val="16"/>
        </w:rPr>
        <w:t>)</w:t>
      </w:r>
      <w:r w:rsidR="000A37A8">
        <w:rPr>
          <w:i/>
          <w:sz w:val="16"/>
          <w:szCs w:val="16"/>
        </w:rPr>
        <w:t xml:space="preserve"> </w:t>
      </w:r>
    </w:p>
    <w:p w:rsidR="00EE00DE" w:rsidRDefault="00EE00DE" w:rsidP="00EE00DE">
      <w:pPr>
        <w:rPr>
          <w:sz w:val="18"/>
        </w:rPr>
      </w:pPr>
      <w:r>
        <w:rPr>
          <w:sz w:val="18"/>
        </w:rPr>
        <w:br w:type="page"/>
      </w:r>
    </w:p>
    <w:p w:rsidR="00EE00DE" w:rsidRDefault="00EE00DE" w:rsidP="00EE00DE">
      <w:pPr>
        <w:pStyle w:val="MJAheading2"/>
      </w:pPr>
      <w:bookmarkStart w:id="75" w:name="_Toc441834762"/>
      <w:r>
        <w:t>Gwydir: General Security</w:t>
      </w:r>
      <w:bookmarkEnd w:id="75"/>
    </w:p>
    <w:p w:rsidR="00EE00DE" w:rsidRDefault="00EE00DE" w:rsidP="00EE00DE">
      <w:pPr>
        <w:pStyle w:val="Caption"/>
      </w:pPr>
      <w:bookmarkStart w:id="76" w:name="_Toc426386668"/>
      <w:r>
        <w:t xml:space="preserve">Figure </w:t>
      </w:r>
      <w:r w:rsidR="00C23339">
        <w:fldChar w:fldCharType="begin"/>
      </w:r>
      <w:r w:rsidR="00134558">
        <w:instrText xml:space="preserve"> SEQ Figure \* ARABIC </w:instrText>
      </w:r>
      <w:r w:rsidR="00C23339">
        <w:fldChar w:fldCharType="separate"/>
      </w:r>
      <w:r w:rsidR="00E00DC7">
        <w:rPr>
          <w:noProof/>
        </w:rPr>
        <w:t>36</w:t>
      </w:r>
      <w:r w:rsidR="00C23339">
        <w:rPr>
          <w:noProof/>
        </w:rPr>
        <w:fldChar w:fldCharType="end"/>
      </w:r>
      <w:r>
        <w:t>: Entitlement market prices and volumes</w:t>
      </w:r>
      <w:bookmarkEnd w:id="76"/>
    </w:p>
    <w:p w:rsidR="00EE00DE" w:rsidRDefault="0039071F" w:rsidP="00EE00DE">
      <w:pPr>
        <w:pStyle w:val="MJAnormal"/>
      </w:pPr>
      <w:r>
        <w:rPr>
          <w:noProof/>
          <w:lang w:eastAsia="en-AU"/>
        </w:rPr>
        <w:drawing>
          <wp:inline distT="0" distB="0" distL="0" distR="0">
            <wp:extent cx="5760000" cy="2790569"/>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EE00DE" w:rsidRDefault="00EE00DE" w:rsidP="00EE00DE">
      <w:pPr>
        <w:pStyle w:val="MJAnormal"/>
      </w:pPr>
    </w:p>
    <w:p w:rsidR="00EE00DE" w:rsidRDefault="00EE00DE" w:rsidP="00EE00DE">
      <w:pPr>
        <w:pStyle w:val="Caption"/>
      </w:pPr>
      <w:bookmarkStart w:id="77" w:name="_Toc426386609"/>
      <w:r>
        <w:t xml:space="preserve">Table </w:t>
      </w:r>
      <w:r w:rsidR="00C23339">
        <w:fldChar w:fldCharType="begin"/>
      </w:r>
      <w:r w:rsidR="00134558">
        <w:instrText xml:space="preserve"> SEQ Table \* ARABIC </w:instrText>
      </w:r>
      <w:r w:rsidR="00C23339">
        <w:fldChar w:fldCharType="separate"/>
      </w:r>
      <w:r w:rsidR="00E00DC7">
        <w:rPr>
          <w:noProof/>
        </w:rPr>
        <w:t>20</w:t>
      </w:r>
      <w:r w:rsidR="00C23339">
        <w:rPr>
          <w:noProof/>
        </w:rPr>
        <w:fldChar w:fldCharType="end"/>
      </w:r>
      <w:r>
        <w:t>: Entitlement market prices and volumes</w:t>
      </w:r>
      <w:bookmarkEnd w:id="77"/>
    </w:p>
    <w:tbl>
      <w:tblPr>
        <w:tblW w:w="0" w:type="auto"/>
        <w:tblLayout w:type="fixed"/>
        <w:tblCellMar>
          <w:left w:w="28" w:type="dxa"/>
          <w:right w:w="28" w:type="dxa"/>
        </w:tblCellMar>
        <w:tblLook w:val="04A0"/>
      </w:tblPr>
      <w:tblGrid>
        <w:gridCol w:w="875"/>
        <w:gridCol w:w="912"/>
        <w:gridCol w:w="868"/>
        <w:gridCol w:w="745"/>
        <w:gridCol w:w="745"/>
        <w:gridCol w:w="746"/>
        <w:gridCol w:w="746"/>
        <w:gridCol w:w="750"/>
        <w:gridCol w:w="850"/>
        <w:gridCol w:w="850"/>
        <w:gridCol w:w="984"/>
      </w:tblGrid>
      <w:tr w:rsidR="00E873CF" w:rsidRPr="00147005" w:rsidTr="00EA394F">
        <w:trPr>
          <w:trHeight w:val="525"/>
        </w:trPr>
        <w:tc>
          <w:tcPr>
            <w:tcW w:w="2655" w:type="dxa"/>
            <w:gridSpan w:val="3"/>
            <w:tcBorders>
              <w:top w:val="nil"/>
              <w:left w:val="nil"/>
              <w:bottom w:val="nil"/>
              <w:right w:val="nil"/>
            </w:tcBorders>
            <w:shd w:val="clear" w:color="000000" w:fill="0093D0"/>
            <w:noWrap/>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3732" w:type="dxa"/>
            <w:gridSpan w:val="5"/>
            <w:tcBorders>
              <w:top w:val="nil"/>
              <w:left w:val="single" w:sz="4" w:space="0" w:color="C5D9F1"/>
              <w:bottom w:val="nil"/>
              <w:right w:val="single" w:sz="4" w:space="0" w:color="C5D9F1"/>
            </w:tcBorders>
            <w:shd w:val="clear" w:color="000000" w:fill="0093D0"/>
            <w:noWrap/>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E873CF" w:rsidRPr="00147005">
              <w:rPr>
                <w:rFonts w:eastAsia="Times New Roman"/>
                <w:b/>
                <w:bCs/>
                <w:color w:val="FFFFFF"/>
                <w:sz w:val="16"/>
                <w:szCs w:val="20"/>
                <w:lang w:eastAsia="en-AU"/>
              </w:rPr>
              <w:t xml:space="preserve"> 2015 Quarter (in $/ML)</w:t>
            </w:r>
          </w:p>
        </w:tc>
        <w:tc>
          <w:tcPr>
            <w:tcW w:w="850" w:type="dxa"/>
            <w:vMerge w:val="restart"/>
            <w:tcBorders>
              <w:top w:val="nil"/>
              <w:left w:val="single" w:sz="4" w:space="0" w:color="C5D9F1"/>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Volume</w:t>
            </w:r>
            <w:r w:rsidR="00E873CF">
              <w:rPr>
                <w:rFonts w:eastAsia="Times New Roman"/>
                <w:b/>
                <w:bCs/>
                <w:color w:val="FFFFFF"/>
                <w:sz w:val="16"/>
                <w:szCs w:val="20"/>
                <w:lang w:eastAsia="en-AU"/>
              </w:rPr>
              <w:t xml:space="preserve"> (ML)</w:t>
            </w:r>
          </w:p>
        </w:tc>
        <w:tc>
          <w:tcPr>
            <w:tcW w:w="850" w:type="dxa"/>
            <w:vMerge w:val="restart"/>
            <w:tcBorders>
              <w:top w:val="nil"/>
              <w:left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 of trades</w:t>
            </w:r>
          </w:p>
        </w:tc>
        <w:tc>
          <w:tcPr>
            <w:tcW w:w="984" w:type="dxa"/>
            <w:vMerge w:val="restart"/>
            <w:tcBorders>
              <w:top w:val="nil"/>
              <w:left w:val="nil"/>
              <w:right w:val="nil"/>
            </w:tcBorders>
            <w:shd w:val="clear" w:color="000000" w:fill="0093D0"/>
            <w:vAlign w:val="center"/>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E873CF" w:rsidRPr="00147005" w:rsidTr="00EA394F">
        <w:trPr>
          <w:trHeight w:val="552"/>
        </w:trPr>
        <w:tc>
          <w:tcPr>
            <w:tcW w:w="875"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912" w:type="dxa"/>
            <w:tcBorders>
              <w:top w:val="nil"/>
              <w:left w:val="nil"/>
              <w:bottom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w:t>
            </w:r>
          </w:p>
        </w:tc>
        <w:tc>
          <w:tcPr>
            <w:tcW w:w="868"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745" w:type="dxa"/>
            <w:tcBorders>
              <w:top w:val="nil"/>
              <w:left w:val="single" w:sz="4" w:space="0" w:color="C5D9F1"/>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745"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746"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746"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750" w:type="dxa"/>
            <w:tcBorders>
              <w:top w:val="nil"/>
              <w:left w:val="nil"/>
              <w:bottom w:val="nil"/>
              <w:right w:val="single" w:sz="4" w:space="0" w:color="C5D9F1"/>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850" w:type="dxa"/>
            <w:vMerge/>
            <w:tcBorders>
              <w:left w:val="single" w:sz="4" w:space="0" w:color="C5D9F1"/>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850" w:type="dxa"/>
            <w:vMerge/>
            <w:tcBorders>
              <w:left w:val="nil"/>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984" w:type="dxa"/>
            <w:vMerge/>
            <w:tcBorders>
              <w:left w:val="nil"/>
              <w:bottom w:val="nil"/>
              <w:right w:val="nil"/>
            </w:tcBorders>
          </w:tcPr>
          <w:p w:rsidR="00E873CF" w:rsidRPr="00147005" w:rsidRDefault="00E873CF" w:rsidP="00E873CF">
            <w:pPr>
              <w:spacing w:after="0" w:line="240" w:lineRule="auto"/>
              <w:rPr>
                <w:rFonts w:eastAsia="Times New Roman"/>
                <w:b/>
                <w:bCs/>
                <w:color w:val="FFFFFF"/>
                <w:sz w:val="16"/>
                <w:szCs w:val="20"/>
                <w:lang w:eastAsia="en-AU"/>
              </w:rPr>
            </w:pPr>
          </w:p>
        </w:tc>
      </w:tr>
      <w:tr w:rsidR="0039071F" w:rsidRPr="00147005" w:rsidTr="003F313E">
        <w:trPr>
          <w:trHeight w:val="555"/>
        </w:trPr>
        <w:tc>
          <w:tcPr>
            <w:tcW w:w="875" w:type="dxa"/>
            <w:tcBorders>
              <w:top w:val="nil"/>
              <w:left w:val="nil"/>
              <w:bottom w:val="single" w:sz="4" w:space="0" w:color="0093D0"/>
              <w:right w:val="nil"/>
            </w:tcBorders>
            <w:shd w:val="clear" w:color="auto" w:fill="auto"/>
            <w:noWrap/>
            <w:vAlign w:val="center"/>
            <w:hideMark/>
          </w:tcPr>
          <w:p w:rsidR="0039071F" w:rsidRDefault="0039071F" w:rsidP="0039071F">
            <w:pPr>
              <w:spacing w:after="0" w:line="240" w:lineRule="auto"/>
              <w:jc w:val="center"/>
              <w:rPr>
                <w:b/>
                <w:bCs/>
                <w:color w:val="000000"/>
                <w:sz w:val="16"/>
                <w:szCs w:val="16"/>
                <w:lang w:eastAsia="en-AU"/>
              </w:rPr>
            </w:pPr>
            <w:r>
              <w:rPr>
                <w:b/>
                <w:bCs/>
                <w:color w:val="000000"/>
                <w:sz w:val="16"/>
                <w:szCs w:val="16"/>
              </w:rPr>
              <w:t>2,203</w:t>
            </w:r>
          </w:p>
        </w:tc>
        <w:tc>
          <w:tcPr>
            <w:tcW w:w="912" w:type="dxa"/>
            <w:tcBorders>
              <w:top w:val="nil"/>
              <w:left w:val="nil"/>
              <w:bottom w:val="single" w:sz="4" w:space="0" w:color="0093D0"/>
              <w:right w:val="nil"/>
            </w:tcBorders>
            <w:shd w:val="clear" w:color="auto" w:fill="auto"/>
            <w:noWrap/>
            <w:vAlign w:val="center"/>
            <w:hideMark/>
          </w:tcPr>
          <w:p w:rsidR="0039071F" w:rsidRDefault="0039071F" w:rsidP="0039071F">
            <w:pPr>
              <w:spacing w:after="0" w:line="240" w:lineRule="auto"/>
              <w:jc w:val="center"/>
              <w:rPr>
                <w:b/>
                <w:bCs/>
                <w:color w:val="000000"/>
                <w:sz w:val="16"/>
                <w:szCs w:val="16"/>
              </w:rPr>
            </w:pPr>
            <w:r>
              <w:rPr>
                <w:b/>
                <w:bCs/>
                <w:color w:val="000000"/>
                <w:sz w:val="16"/>
                <w:szCs w:val="16"/>
              </w:rPr>
              <w:t>2,211</w:t>
            </w:r>
          </w:p>
        </w:tc>
        <w:tc>
          <w:tcPr>
            <w:tcW w:w="868" w:type="dxa"/>
            <w:tcBorders>
              <w:top w:val="nil"/>
              <w:left w:val="nil"/>
              <w:bottom w:val="single" w:sz="4" w:space="0" w:color="0093D0"/>
              <w:right w:val="nil"/>
            </w:tcBorders>
            <w:shd w:val="clear" w:color="auto" w:fill="auto"/>
            <w:noWrap/>
            <w:vAlign w:val="center"/>
            <w:hideMark/>
          </w:tcPr>
          <w:p w:rsidR="0039071F" w:rsidRDefault="0039071F" w:rsidP="0039071F">
            <w:pPr>
              <w:spacing w:after="0" w:line="240" w:lineRule="auto"/>
              <w:jc w:val="center"/>
              <w:rPr>
                <w:b/>
                <w:bCs/>
                <w:color w:val="000000"/>
                <w:sz w:val="16"/>
                <w:szCs w:val="16"/>
              </w:rPr>
            </w:pPr>
            <w:r>
              <w:rPr>
                <w:b/>
                <w:bCs/>
                <w:color w:val="000000"/>
                <w:sz w:val="16"/>
                <w:szCs w:val="16"/>
              </w:rPr>
              <w:t>2,221</w:t>
            </w:r>
          </w:p>
        </w:tc>
        <w:tc>
          <w:tcPr>
            <w:tcW w:w="745" w:type="dxa"/>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rPr>
            </w:pPr>
            <w:r>
              <w:rPr>
                <w:b/>
                <w:bCs/>
                <w:color w:val="000000"/>
                <w:sz w:val="16"/>
                <w:szCs w:val="16"/>
              </w:rPr>
              <w:t>2,206</w:t>
            </w:r>
          </w:p>
        </w:tc>
        <w:tc>
          <w:tcPr>
            <w:tcW w:w="745" w:type="dxa"/>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rPr>
            </w:pPr>
            <w:r>
              <w:rPr>
                <w:b/>
                <w:bCs/>
                <w:color w:val="000000"/>
                <w:sz w:val="16"/>
                <w:szCs w:val="16"/>
              </w:rPr>
              <w:t>2,212</w:t>
            </w:r>
          </w:p>
        </w:tc>
        <w:tc>
          <w:tcPr>
            <w:tcW w:w="746" w:type="dxa"/>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rPr>
            </w:pPr>
            <w:r>
              <w:rPr>
                <w:b/>
                <w:bCs/>
                <w:color w:val="000000"/>
                <w:sz w:val="16"/>
                <w:szCs w:val="16"/>
              </w:rPr>
              <w:t>2,212</w:t>
            </w:r>
          </w:p>
        </w:tc>
        <w:tc>
          <w:tcPr>
            <w:tcW w:w="746" w:type="dxa"/>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rPr>
            </w:pPr>
            <w:r>
              <w:rPr>
                <w:b/>
                <w:bCs/>
                <w:color w:val="000000"/>
                <w:sz w:val="16"/>
                <w:szCs w:val="16"/>
              </w:rPr>
              <w:t>2,208</w:t>
            </w:r>
          </w:p>
        </w:tc>
        <w:tc>
          <w:tcPr>
            <w:tcW w:w="750" w:type="dxa"/>
            <w:tcBorders>
              <w:top w:val="nil"/>
              <w:left w:val="nil"/>
              <w:bottom w:val="single" w:sz="4" w:space="0" w:color="0093D0"/>
              <w:right w:val="nil"/>
            </w:tcBorders>
            <w:shd w:val="clear" w:color="auto" w:fill="auto"/>
            <w:noWrap/>
            <w:vAlign w:val="center"/>
            <w:hideMark/>
          </w:tcPr>
          <w:p w:rsidR="0039071F" w:rsidRDefault="0039071F" w:rsidP="0039071F">
            <w:pPr>
              <w:spacing w:after="0" w:line="240" w:lineRule="auto"/>
              <w:jc w:val="center"/>
              <w:rPr>
                <w:b/>
                <w:bCs/>
                <w:color w:val="000000"/>
                <w:sz w:val="16"/>
                <w:szCs w:val="16"/>
              </w:rPr>
            </w:pPr>
            <w:r>
              <w:rPr>
                <w:b/>
                <w:bCs/>
                <w:color w:val="000000"/>
                <w:sz w:val="16"/>
                <w:szCs w:val="16"/>
              </w:rPr>
              <w:t>2,212</w:t>
            </w:r>
          </w:p>
        </w:tc>
        <w:tc>
          <w:tcPr>
            <w:tcW w:w="850" w:type="dxa"/>
            <w:tcBorders>
              <w:top w:val="nil"/>
              <w:left w:val="nil"/>
              <w:bottom w:val="single" w:sz="4" w:space="0" w:color="0093D0"/>
              <w:right w:val="nil"/>
            </w:tcBorders>
            <w:shd w:val="clear" w:color="auto" w:fill="auto"/>
            <w:noWrap/>
            <w:vAlign w:val="center"/>
            <w:hideMark/>
          </w:tcPr>
          <w:p w:rsidR="0039071F" w:rsidRDefault="0039071F" w:rsidP="0039071F">
            <w:pPr>
              <w:spacing w:after="0" w:line="240" w:lineRule="auto"/>
              <w:jc w:val="center"/>
              <w:rPr>
                <w:b/>
                <w:bCs/>
                <w:color w:val="000000"/>
                <w:sz w:val="16"/>
                <w:szCs w:val="16"/>
              </w:rPr>
            </w:pPr>
            <w:r>
              <w:rPr>
                <w:b/>
                <w:bCs/>
                <w:color w:val="000000"/>
                <w:sz w:val="16"/>
                <w:szCs w:val="16"/>
              </w:rPr>
              <w:t>993</w:t>
            </w:r>
          </w:p>
        </w:tc>
        <w:tc>
          <w:tcPr>
            <w:tcW w:w="850" w:type="dxa"/>
            <w:tcBorders>
              <w:top w:val="nil"/>
              <w:left w:val="nil"/>
              <w:bottom w:val="single" w:sz="4" w:space="0" w:color="0093D0"/>
              <w:right w:val="nil"/>
            </w:tcBorders>
            <w:shd w:val="clear" w:color="auto" w:fill="auto"/>
            <w:noWrap/>
            <w:vAlign w:val="center"/>
            <w:hideMark/>
          </w:tcPr>
          <w:p w:rsidR="0039071F" w:rsidRDefault="0039071F" w:rsidP="0039071F">
            <w:pPr>
              <w:spacing w:after="0" w:line="240" w:lineRule="auto"/>
              <w:jc w:val="center"/>
              <w:rPr>
                <w:b/>
                <w:bCs/>
                <w:color w:val="000000"/>
                <w:sz w:val="16"/>
                <w:szCs w:val="16"/>
              </w:rPr>
            </w:pPr>
            <w:r>
              <w:rPr>
                <w:b/>
                <w:bCs/>
                <w:color w:val="000000"/>
                <w:sz w:val="16"/>
                <w:szCs w:val="16"/>
              </w:rPr>
              <w:t>3</w:t>
            </w:r>
          </w:p>
        </w:tc>
        <w:tc>
          <w:tcPr>
            <w:tcW w:w="984" w:type="dxa"/>
            <w:tcBorders>
              <w:top w:val="nil"/>
              <w:left w:val="nil"/>
              <w:bottom w:val="single" w:sz="4" w:space="0" w:color="0093D0"/>
              <w:right w:val="nil"/>
            </w:tcBorders>
            <w:vAlign w:val="center"/>
          </w:tcPr>
          <w:p w:rsidR="0039071F" w:rsidRPr="00147005" w:rsidRDefault="0039071F" w:rsidP="0039071F">
            <w:pPr>
              <w:spacing w:after="0" w:line="240" w:lineRule="auto"/>
              <w:jc w:val="center"/>
              <w:rPr>
                <w:rFonts w:eastAsia="Times New Roman"/>
                <w:b/>
                <w:bCs/>
                <w:color w:val="000000"/>
                <w:sz w:val="16"/>
                <w:szCs w:val="20"/>
                <w:lang w:eastAsia="en-AU"/>
              </w:rPr>
            </w:pPr>
            <w:r w:rsidRPr="009263A0">
              <w:rPr>
                <w:rFonts w:eastAsia="Times New Roman"/>
                <w:b/>
                <w:bCs/>
                <w:color w:val="000000"/>
                <w:sz w:val="16"/>
                <w:szCs w:val="20"/>
                <w:lang w:eastAsia="en-AU"/>
              </w:rPr>
              <w:t>2,100 – 2,200</w:t>
            </w:r>
          </w:p>
        </w:tc>
      </w:tr>
    </w:tbl>
    <w:p w:rsidR="00EE00DE" w:rsidRPr="0039071F" w:rsidRDefault="00EE00DE" w:rsidP="0039071F">
      <w:pPr>
        <w:pStyle w:val="MJAnormal"/>
      </w:pPr>
    </w:p>
    <w:p w:rsidR="008B6FB2" w:rsidRDefault="008B6FB2" w:rsidP="008B6FB2">
      <w:pPr>
        <w:pStyle w:val="Caption"/>
      </w:pPr>
      <w:r>
        <w:t xml:space="preserve">Figure </w:t>
      </w:r>
      <w:r w:rsidR="00C23339">
        <w:fldChar w:fldCharType="begin"/>
      </w:r>
      <w:r w:rsidR="007B266E">
        <w:instrText xml:space="preserve"> SEQ Figure \* ARABIC </w:instrText>
      </w:r>
      <w:r w:rsidR="00C23339">
        <w:fldChar w:fldCharType="separate"/>
      </w:r>
      <w:r w:rsidR="00E00DC7">
        <w:rPr>
          <w:noProof/>
        </w:rPr>
        <w:t>37</w:t>
      </w:r>
      <w:r w:rsidR="00C23339">
        <w:rPr>
          <w:noProof/>
        </w:rPr>
        <w:fldChar w:fldCharType="end"/>
      </w:r>
      <w:r>
        <w:t>: Entitlement market price range by volume</w:t>
      </w:r>
    </w:p>
    <w:p w:rsidR="008B6FB2" w:rsidRDefault="0039071F" w:rsidP="00EE00DE">
      <w:pPr>
        <w:pStyle w:val="MJAnormal"/>
      </w:pPr>
      <w:r>
        <w:rPr>
          <w:noProof/>
          <w:lang w:eastAsia="en-AU"/>
        </w:rPr>
        <w:drawing>
          <wp:inline distT="0" distB="0" distL="0" distR="0">
            <wp:extent cx="5760000" cy="207310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073101"/>
                    </a:xfrm>
                    <a:prstGeom prst="rect">
                      <a:avLst/>
                    </a:prstGeom>
                    <a:noFill/>
                  </pic:spPr>
                </pic:pic>
              </a:graphicData>
            </a:graphic>
          </wp:inline>
        </w:drawing>
      </w:r>
    </w:p>
    <w:p w:rsidR="008B6FB2" w:rsidRDefault="008B6FB2" w:rsidP="002D50B8">
      <w:pPr>
        <w:pStyle w:val="MJAsource"/>
        <w:rPr>
          <w:b/>
        </w:rPr>
      </w:pPr>
    </w:p>
    <w:p w:rsidR="002D50B8" w:rsidRPr="00564276" w:rsidRDefault="002D50B8" w:rsidP="002D50B8">
      <w:pPr>
        <w:pStyle w:val="MJAsource"/>
      </w:pPr>
      <w:r w:rsidRPr="00074B0E">
        <w:rPr>
          <w:b/>
          <w:sz w:val="16"/>
          <w:szCs w:val="16"/>
        </w:rPr>
        <w:t xml:space="preserve">Data Sources: </w:t>
      </w:r>
      <w:r w:rsidRPr="00074B0E">
        <w:rPr>
          <w:sz w:val="16"/>
          <w:szCs w:val="16"/>
        </w:rPr>
        <w:t>NSW Water</w:t>
      </w:r>
      <w:r w:rsidRPr="00AC2079">
        <w:rPr>
          <w:sz w:val="16"/>
          <w:szCs w:val="16"/>
        </w:rPr>
        <w:t xml:space="preserve"> Register (</w:t>
      </w:r>
      <w:hyperlink r:id="rId113" w:history="1">
        <w:r w:rsidRPr="00AC2079">
          <w:rPr>
            <w:rStyle w:val="Hyperlink"/>
            <w:color w:val="auto"/>
            <w:sz w:val="16"/>
            <w:szCs w:val="16"/>
          </w:rPr>
          <w:t>http://registers.water.nsw.gov.au/wma/WaterShareIntraWSLocSearch.jsp?selectedRegister=WaterShare</w:t>
        </w:r>
      </w:hyperlink>
      <w:r>
        <w:rPr>
          <w:rStyle w:val="Hyperlink"/>
          <w:color w:val="auto"/>
          <w:sz w:val="16"/>
          <w:szCs w:val="16"/>
        </w:rPr>
        <w:t xml:space="preserve">, </w:t>
      </w:r>
      <w:r w:rsidRPr="00AC2079">
        <w:rPr>
          <w:rStyle w:val="Hyperlink"/>
          <w:color w:val="auto"/>
          <w:sz w:val="16"/>
          <w:szCs w:val="16"/>
        </w:rPr>
        <w:t>http://www.water.nsw.gov.au/water-licensing/registers</w:t>
      </w:r>
      <w:r w:rsidRPr="00AC2079">
        <w:rPr>
          <w:sz w:val="16"/>
          <w:szCs w:val="16"/>
        </w:rPr>
        <w:t xml:space="preserve">), </w:t>
      </w:r>
      <w:proofErr w:type="spellStart"/>
      <w:r w:rsidRPr="00AC2079">
        <w:rPr>
          <w:sz w:val="16"/>
          <w:szCs w:val="16"/>
        </w:rPr>
        <w:t>Waterfind</w:t>
      </w:r>
      <w:proofErr w:type="spellEnd"/>
      <w:r w:rsidRPr="00AC2079">
        <w:rPr>
          <w:sz w:val="16"/>
          <w:szCs w:val="16"/>
        </w:rPr>
        <w:t xml:space="preserve"> (</w:t>
      </w:r>
      <w:hyperlink r:id="rId114" w:history="1">
        <w:r w:rsidR="000A37A8" w:rsidRPr="00631B5E">
          <w:rPr>
            <w:rStyle w:val="Hyperlink"/>
            <w:sz w:val="16"/>
            <w:szCs w:val="16"/>
          </w:rPr>
          <w:t>www.waterfind.com.au</w:t>
        </w:r>
      </w:hyperlink>
      <w:r w:rsidRPr="00AC2079">
        <w:rPr>
          <w:sz w:val="16"/>
          <w:szCs w:val="16"/>
        </w:rPr>
        <w:t>)</w:t>
      </w:r>
      <w:r w:rsidR="000A37A8">
        <w:rPr>
          <w:sz w:val="16"/>
          <w:szCs w:val="16"/>
        </w:rPr>
        <w:t xml:space="preserve"> </w:t>
      </w:r>
    </w:p>
    <w:p w:rsidR="00EE00DE" w:rsidRDefault="00EE00DE" w:rsidP="00EE00DE">
      <w:pPr>
        <w:rPr>
          <w:sz w:val="18"/>
        </w:rPr>
      </w:pPr>
      <w:r>
        <w:rPr>
          <w:sz w:val="18"/>
        </w:rPr>
        <w:br w:type="page"/>
      </w:r>
    </w:p>
    <w:p w:rsidR="00D60D1E" w:rsidRDefault="00D60D1E" w:rsidP="00EE00DE">
      <w:pPr>
        <w:pStyle w:val="MJAheading2"/>
      </w:pPr>
      <w:bookmarkStart w:id="78" w:name="_Toc441834763"/>
      <w:r>
        <w:t>NSW Border Rivers: General Security</w:t>
      </w:r>
      <w:bookmarkEnd w:id="78"/>
    </w:p>
    <w:p w:rsidR="00D60D1E" w:rsidRDefault="00D60D1E" w:rsidP="00D60D1E">
      <w:pPr>
        <w:pStyle w:val="Caption"/>
      </w:pPr>
      <w:bookmarkStart w:id="79" w:name="_Toc426386662"/>
      <w:r>
        <w:t xml:space="preserve">Figure </w:t>
      </w:r>
      <w:r w:rsidR="00C23339">
        <w:fldChar w:fldCharType="begin"/>
      </w:r>
      <w:r w:rsidR="00134558">
        <w:instrText xml:space="preserve"> SEQ Figure \* ARABIC </w:instrText>
      </w:r>
      <w:r w:rsidR="00C23339">
        <w:fldChar w:fldCharType="separate"/>
      </w:r>
      <w:r w:rsidR="00E00DC7">
        <w:rPr>
          <w:noProof/>
        </w:rPr>
        <w:t>38</w:t>
      </w:r>
      <w:r w:rsidR="00C23339">
        <w:rPr>
          <w:noProof/>
        </w:rPr>
        <w:fldChar w:fldCharType="end"/>
      </w:r>
      <w:r>
        <w:t>: Entitlement market prices and volumes</w:t>
      </w:r>
      <w:bookmarkEnd w:id="79"/>
    </w:p>
    <w:p w:rsidR="0039071F" w:rsidRPr="0039071F" w:rsidRDefault="0039071F" w:rsidP="0039071F">
      <w:pPr>
        <w:pStyle w:val="MJAnormal"/>
      </w:pPr>
      <w:r>
        <w:rPr>
          <w:noProof/>
          <w:lang w:eastAsia="en-AU"/>
        </w:rPr>
        <w:drawing>
          <wp:inline distT="0" distB="0" distL="0" distR="0">
            <wp:extent cx="5760000" cy="2790569"/>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D60D1E" w:rsidRDefault="00D60D1E" w:rsidP="0039071F">
      <w:pPr>
        <w:pStyle w:val="MJAnormal"/>
      </w:pPr>
    </w:p>
    <w:p w:rsidR="00D60D1E" w:rsidRDefault="00D60D1E" w:rsidP="00D60D1E">
      <w:pPr>
        <w:pStyle w:val="Caption"/>
      </w:pPr>
      <w:bookmarkStart w:id="80" w:name="_Toc426386603"/>
      <w:r>
        <w:t xml:space="preserve">Table </w:t>
      </w:r>
      <w:r w:rsidR="00C23339">
        <w:fldChar w:fldCharType="begin"/>
      </w:r>
      <w:r w:rsidR="00134558">
        <w:instrText xml:space="preserve"> SEQ Table \* ARABIC </w:instrText>
      </w:r>
      <w:r w:rsidR="00C23339">
        <w:fldChar w:fldCharType="separate"/>
      </w:r>
      <w:r w:rsidR="00E00DC7">
        <w:rPr>
          <w:noProof/>
        </w:rPr>
        <w:t>21</w:t>
      </w:r>
      <w:r w:rsidR="00C23339">
        <w:rPr>
          <w:noProof/>
        </w:rPr>
        <w:fldChar w:fldCharType="end"/>
      </w:r>
      <w:r>
        <w:t>: Entitlement market prices and volumes</w:t>
      </w:r>
      <w:bookmarkEnd w:id="80"/>
    </w:p>
    <w:tbl>
      <w:tblPr>
        <w:tblW w:w="5000" w:type="pct"/>
        <w:tblCellMar>
          <w:left w:w="28" w:type="dxa"/>
          <w:right w:w="28" w:type="dxa"/>
        </w:tblCellMar>
        <w:tblLook w:val="04A0"/>
      </w:tblPr>
      <w:tblGrid>
        <w:gridCol w:w="883"/>
        <w:gridCol w:w="917"/>
        <w:gridCol w:w="874"/>
        <w:gridCol w:w="748"/>
        <w:gridCol w:w="748"/>
        <w:gridCol w:w="748"/>
        <w:gridCol w:w="748"/>
        <w:gridCol w:w="761"/>
        <w:gridCol w:w="856"/>
        <w:gridCol w:w="856"/>
        <w:gridCol w:w="988"/>
      </w:tblGrid>
      <w:tr w:rsidR="00E873CF" w:rsidRPr="00147005" w:rsidTr="0039071F">
        <w:trPr>
          <w:trHeight w:val="525"/>
        </w:trPr>
        <w:tc>
          <w:tcPr>
            <w:tcW w:w="1464" w:type="pct"/>
            <w:gridSpan w:val="3"/>
            <w:tcBorders>
              <w:top w:val="nil"/>
              <w:left w:val="nil"/>
              <w:bottom w:val="nil"/>
              <w:right w:val="nil"/>
            </w:tcBorders>
            <w:shd w:val="clear" w:color="000000" w:fill="0093D0"/>
            <w:noWrap/>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56" w:type="pct"/>
            <w:gridSpan w:val="5"/>
            <w:tcBorders>
              <w:top w:val="nil"/>
              <w:left w:val="single" w:sz="4" w:space="0" w:color="C5D9F1"/>
              <w:bottom w:val="nil"/>
              <w:right w:val="single" w:sz="4" w:space="0" w:color="C5D9F1"/>
            </w:tcBorders>
            <w:shd w:val="clear" w:color="000000" w:fill="0093D0"/>
            <w:noWrap/>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E873CF" w:rsidRPr="00147005">
              <w:rPr>
                <w:rFonts w:eastAsia="Times New Roman"/>
                <w:b/>
                <w:bCs/>
                <w:color w:val="FFFFFF"/>
                <w:sz w:val="16"/>
                <w:szCs w:val="20"/>
                <w:lang w:eastAsia="en-AU"/>
              </w:rPr>
              <w:t xml:space="preserve"> 2015 Quarter (in $/ML)</w:t>
            </w:r>
          </w:p>
        </w:tc>
        <w:tc>
          <w:tcPr>
            <w:tcW w:w="469" w:type="pct"/>
            <w:vMerge w:val="restart"/>
            <w:tcBorders>
              <w:top w:val="nil"/>
              <w:left w:val="single" w:sz="4" w:space="0" w:color="C5D9F1"/>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Volume</w:t>
            </w:r>
            <w:r w:rsidR="00E873CF">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 of trades</w:t>
            </w:r>
          </w:p>
        </w:tc>
        <w:tc>
          <w:tcPr>
            <w:tcW w:w="542" w:type="pct"/>
            <w:vMerge w:val="restart"/>
            <w:tcBorders>
              <w:top w:val="nil"/>
              <w:left w:val="nil"/>
              <w:right w:val="nil"/>
            </w:tcBorders>
            <w:shd w:val="clear" w:color="000000" w:fill="0093D0"/>
            <w:vAlign w:val="center"/>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E873CF" w:rsidRPr="00147005" w:rsidTr="008B6FB2">
        <w:trPr>
          <w:trHeight w:val="552"/>
        </w:trPr>
        <w:tc>
          <w:tcPr>
            <w:tcW w:w="483"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502" w:type="pct"/>
            <w:tcBorders>
              <w:top w:val="nil"/>
              <w:left w:val="nil"/>
              <w:bottom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w:t>
            </w:r>
          </w:p>
        </w:tc>
        <w:tc>
          <w:tcPr>
            <w:tcW w:w="478"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0" w:type="pct"/>
            <w:tcBorders>
              <w:top w:val="nil"/>
              <w:left w:val="single" w:sz="4" w:space="0" w:color="C5D9F1"/>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0"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0"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0"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7" w:type="pct"/>
            <w:tcBorders>
              <w:top w:val="nil"/>
              <w:left w:val="nil"/>
              <w:bottom w:val="nil"/>
              <w:right w:val="single" w:sz="4" w:space="0" w:color="C5D9F1"/>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9" w:type="pct"/>
            <w:vMerge/>
            <w:tcBorders>
              <w:left w:val="single" w:sz="4" w:space="0" w:color="C5D9F1"/>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543" w:type="pct"/>
            <w:vMerge/>
            <w:tcBorders>
              <w:left w:val="nil"/>
              <w:bottom w:val="nil"/>
              <w:right w:val="nil"/>
            </w:tcBorders>
          </w:tcPr>
          <w:p w:rsidR="00E873CF" w:rsidRPr="00147005" w:rsidRDefault="00E873CF" w:rsidP="00E873CF">
            <w:pPr>
              <w:spacing w:after="0" w:line="240" w:lineRule="auto"/>
              <w:rPr>
                <w:rFonts w:eastAsia="Times New Roman"/>
                <w:b/>
                <w:bCs/>
                <w:color w:val="FFFFFF"/>
                <w:sz w:val="16"/>
                <w:szCs w:val="20"/>
                <w:lang w:eastAsia="en-AU"/>
              </w:rPr>
            </w:pPr>
          </w:p>
        </w:tc>
      </w:tr>
      <w:tr w:rsidR="0039071F" w:rsidRPr="00147005" w:rsidTr="008B6FB2">
        <w:trPr>
          <w:trHeight w:val="555"/>
        </w:trPr>
        <w:tc>
          <w:tcPr>
            <w:tcW w:w="483" w:type="pct"/>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lang w:eastAsia="en-AU"/>
              </w:rPr>
            </w:pPr>
            <w:r>
              <w:rPr>
                <w:b/>
                <w:bCs/>
                <w:color w:val="000000"/>
                <w:sz w:val="16"/>
                <w:szCs w:val="16"/>
              </w:rPr>
              <w:t>2,056</w:t>
            </w:r>
          </w:p>
        </w:tc>
        <w:tc>
          <w:tcPr>
            <w:tcW w:w="502" w:type="pct"/>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rPr>
            </w:pPr>
            <w:r>
              <w:rPr>
                <w:b/>
                <w:bCs/>
                <w:color w:val="000000"/>
                <w:sz w:val="16"/>
                <w:szCs w:val="16"/>
              </w:rPr>
              <w:t>1,820</w:t>
            </w:r>
          </w:p>
        </w:tc>
        <w:tc>
          <w:tcPr>
            <w:tcW w:w="478" w:type="pct"/>
            <w:tcBorders>
              <w:top w:val="nil"/>
              <w:left w:val="nil"/>
              <w:bottom w:val="single" w:sz="4" w:space="0" w:color="0093D0"/>
              <w:right w:val="nil"/>
            </w:tcBorders>
            <w:shd w:val="clear" w:color="auto" w:fill="auto"/>
            <w:noWrap/>
            <w:vAlign w:val="center"/>
            <w:hideMark/>
          </w:tcPr>
          <w:p w:rsidR="0039071F" w:rsidRDefault="0039071F" w:rsidP="0039071F">
            <w:pPr>
              <w:spacing w:after="0" w:line="240" w:lineRule="auto"/>
              <w:jc w:val="center"/>
              <w:rPr>
                <w:b/>
                <w:bCs/>
                <w:color w:val="000000"/>
                <w:sz w:val="16"/>
                <w:szCs w:val="16"/>
              </w:rPr>
            </w:pPr>
            <w:r>
              <w:rPr>
                <w:b/>
                <w:bCs/>
                <w:color w:val="000000"/>
                <w:sz w:val="16"/>
                <w:szCs w:val="16"/>
              </w:rPr>
              <w:t>1,909</w:t>
            </w:r>
          </w:p>
        </w:tc>
        <w:tc>
          <w:tcPr>
            <w:tcW w:w="410" w:type="pct"/>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rPr>
            </w:pPr>
            <w:r>
              <w:rPr>
                <w:b/>
                <w:bCs/>
                <w:color w:val="000000"/>
                <w:sz w:val="16"/>
                <w:szCs w:val="16"/>
              </w:rPr>
              <w:t>2,000</w:t>
            </w:r>
          </w:p>
        </w:tc>
        <w:tc>
          <w:tcPr>
            <w:tcW w:w="410" w:type="pct"/>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rPr>
            </w:pPr>
            <w:r>
              <w:rPr>
                <w:b/>
                <w:bCs/>
                <w:color w:val="000000"/>
                <w:sz w:val="16"/>
                <w:szCs w:val="16"/>
              </w:rPr>
              <w:t>2,200</w:t>
            </w:r>
          </w:p>
        </w:tc>
        <w:tc>
          <w:tcPr>
            <w:tcW w:w="410" w:type="pct"/>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rPr>
            </w:pPr>
            <w:r>
              <w:rPr>
                <w:b/>
                <w:bCs/>
                <w:color w:val="000000"/>
                <w:sz w:val="16"/>
                <w:szCs w:val="16"/>
              </w:rPr>
              <w:t>2,167</w:t>
            </w:r>
          </w:p>
        </w:tc>
        <w:tc>
          <w:tcPr>
            <w:tcW w:w="410" w:type="pct"/>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rPr>
            </w:pPr>
            <w:r>
              <w:rPr>
                <w:b/>
                <w:bCs/>
                <w:color w:val="000000"/>
                <w:sz w:val="16"/>
                <w:szCs w:val="16"/>
              </w:rPr>
              <w:t>2,213</w:t>
            </w:r>
          </w:p>
        </w:tc>
        <w:tc>
          <w:tcPr>
            <w:tcW w:w="417" w:type="pct"/>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rPr>
            </w:pPr>
            <w:r>
              <w:rPr>
                <w:b/>
                <w:bCs/>
                <w:color w:val="000000"/>
                <w:sz w:val="16"/>
                <w:szCs w:val="16"/>
              </w:rPr>
              <w:t>-</w:t>
            </w:r>
          </w:p>
        </w:tc>
        <w:tc>
          <w:tcPr>
            <w:tcW w:w="469" w:type="pct"/>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rPr>
            </w:pPr>
            <w:r>
              <w:rPr>
                <w:b/>
                <w:bCs/>
                <w:color w:val="000000"/>
                <w:sz w:val="16"/>
                <w:szCs w:val="16"/>
              </w:rPr>
              <w:t>1,677</w:t>
            </w:r>
          </w:p>
        </w:tc>
        <w:tc>
          <w:tcPr>
            <w:tcW w:w="469" w:type="pct"/>
            <w:tcBorders>
              <w:top w:val="nil"/>
              <w:left w:val="nil"/>
              <w:bottom w:val="single" w:sz="4" w:space="0" w:color="0093D0"/>
              <w:right w:val="nil"/>
            </w:tcBorders>
            <w:shd w:val="clear" w:color="auto" w:fill="auto"/>
            <w:noWrap/>
            <w:vAlign w:val="center"/>
          </w:tcPr>
          <w:p w:rsidR="0039071F" w:rsidRDefault="0039071F" w:rsidP="0039071F">
            <w:pPr>
              <w:spacing w:after="0" w:line="240" w:lineRule="auto"/>
              <w:jc w:val="center"/>
              <w:rPr>
                <w:b/>
                <w:bCs/>
                <w:color w:val="000000"/>
                <w:sz w:val="16"/>
                <w:szCs w:val="16"/>
              </w:rPr>
            </w:pPr>
            <w:r>
              <w:rPr>
                <w:b/>
                <w:bCs/>
                <w:color w:val="000000"/>
                <w:sz w:val="16"/>
                <w:szCs w:val="16"/>
              </w:rPr>
              <w:t>5</w:t>
            </w:r>
          </w:p>
        </w:tc>
        <w:tc>
          <w:tcPr>
            <w:tcW w:w="543" w:type="pct"/>
            <w:tcBorders>
              <w:top w:val="nil"/>
              <w:left w:val="nil"/>
              <w:bottom w:val="single" w:sz="4" w:space="0" w:color="0093D0"/>
              <w:right w:val="nil"/>
            </w:tcBorders>
            <w:vAlign w:val="center"/>
          </w:tcPr>
          <w:p w:rsidR="0039071F" w:rsidRPr="00147005" w:rsidRDefault="0039071F" w:rsidP="0039071F">
            <w:pPr>
              <w:spacing w:after="0" w:line="240" w:lineRule="auto"/>
              <w:jc w:val="center"/>
              <w:rPr>
                <w:rFonts w:eastAsia="Times New Roman"/>
                <w:b/>
                <w:bCs/>
                <w:color w:val="000000"/>
                <w:sz w:val="16"/>
                <w:szCs w:val="20"/>
                <w:lang w:eastAsia="en-AU"/>
              </w:rPr>
            </w:pPr>
            <w:r w:rsidRPr="0039071F">
              <w:rPr>
                <w:rFonts w:eastAsia="Times New Roman"/>
                <w:b/>
                <w:bCs/>
                <w:color w:val="000000"/>
                <w:sz w:val="16"/>
                <w:szCs w:val="20"/>
                <w:lang w:eastAsia="en-AU"/>
              </w:rPr>
              <w:t>2,000 – 3,300</w:t>
            </w:r>
          </w:p>
        </w:tc>
      </w:tr>
    </w:tbl>
    <w:p w:rsidR="008B6FB2" w:rsidRDefault="008B6FB2" w:rsidP="008B6FB2">
      <w:pPr>
        <w:pStyle w:val="MJAnormal"/>
      </w:pPr>
    </w:p>
    <w:p w:rsidR="008B6FB2" w:rsidRDefault="008B6FB2" w:rsidP="008B6FB2">
      <w:pPr>
        <w:pStyle w:val="Caption"/>
      </w:pPr>
      <w:r>
        <w:t xml:space="preserve">Figure </w:t>
      </w:r>
      <w:r w:rsidR="00C23339">
        <w:fldChar w:fldCharType="begin"/>
      </w:r>
      <w:r w:rsidR="007B266E">
        <w:instrText xml:space="preserve"> SEQ Figure \* ARABIC </w:instrText>
      </w:r>
      <w:r w:rsidR="00C23339">
        <w:fldChar w:fldCharType="separate"/>
      </w:r>
      <w:r w:rsidR="00E00DC7">
        <w:rPr>
          <w:noProof/>
        </w:rPr>
        <w:t>39</w:t>
      </w:r>
      <w:r w:rsidR="00C23339">
        <w:rPr>
          <w:noProof/>
        </w:rPr>
        <w:fldChar w:fldCharType="end"/>
      </w:r>
      <w:r>
        <w:t>: Entitlement market price range by volume</w:t>
      </w:r>
    </w:p>
    <w:p w:rsidR="008B6FB2" w:rsidRPr="0039071F" w:rsidRDefault="0039071F" w:rsidP="0039071F">
      <w:pPr>
        <w:pStyle w:val="MJAnormal"/>
      </w:pPr>
      <w:r w:rsidRPr="0039071F">
        <w:rPr>
          <w:noProof/>
          <w:lang w:eastAsia="en-AU"/>
        </w:rPr>
        <w:drawing>
          <wp:inline distT="0" distB="0" distL="0" distR="0">
            <wp:extent cx="5760000" cy="2073101"/>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073101"/>
                    </a:xfrm>
                    <a:prstGeom prst="rect">
                      <a:avLst/>
                    </a:prstGeom>
                    <a:noFill/>
                  </pic:spPr>
                </pic:pic>
              </a:graphicData>
            </a:graphic>
          </wp:inline>
        </w:drawing>
      </w:r>
    </w:p>
    <w:p w:rsidR="008B6FB2" w:rsidRPr="0039071F" w:rsidRDefault="008B6FB2" w:rsidP="0039071F">
      <w:pPr>
        <w:pStyle w:val="MJAnormal"/>
      </w:pPr>
    </w:p>
    <w:p w:rsidR="002D50B8" w:rsidRPr="00564276" w:rsidRDefault="002D50B8" w:rsidP="002D50B8">
      <w:pPr>
        <w:pStyle w:val="MJAsource"/>
      </w:pPr>
      <w:r w:rsidRPr="00074B0E">
        <w:rPr>
          <w:b/>
          <w:sz w:val="16"/>
          <w:szCs w:val="16"/>
        </w:rPr>
        <w:t xml:space="preserve">Data Sources: </w:t>
      </w:r>
      <w:r w:rsidRPr="00074B0E">
        <w:rPr>
          <w:sz w:val="16"/>
          <w:szCs w:val="16"/>
        </w:rPr>
        <w:t>NSW</w:t>
      </w:r>
      <w:r w:rsidRPr="00AC2079">
        <w:rPr>
          <w:sz w:val="16"/>
          <w:szCs w:val="16"/>
        </w:rPr>
        <w:t xml:space="preserve"> Water Register (</w:t>
      </w:r>
      <w:hyperlink r:id="rId117" w:history="1">
        <w:r w:rsidRPr="00AC2079">
          <w:rPr>
            <w:rStyle w:val="Hyperlink"/>
            <w:color w:val="auto"/>
            <w:sz w:val="16"/>
            <w:szCs w:val="16"/>
          </w:rPr>
          <w:t>http://registers.water.nsw.gov.au/wma/WaterShareIntraWSLocSearch.jsp?selectedRegister=WaterShare</w:t>
        </w:r>
      </w:hyperlink>
      <w:r>
        <w:rPr>
          <w:rStyle w:val="Hyperlink"/>
          <w:color w:val="auto"/>
          <w:sz w:val="16"/>
          <w:szCs w:val="16"/>
        </w:rPr>
        <w:t xml:space="preserve">, </w:t>
      </w:r>
      <w:r w:rsidRPr="00AC2079">
        <w:rPr>
          <w:rStyle w:val="Hyperlink"/>
          <w:color w:val="auto"/>
          <w:sz w:val="16"/>
          <w:szCs w:val="16"/>
        </w:rPr>
        <w:t>http://www.water.nsw.gov.au/water-licensing/registers</w:t>
      </w:r>
      <w:r w:rsidRPr="00AC2079">
        <w:rPr>
          <w:sz w:val="16"/>
          <w:szCs w:val="16"/>
        </w:rPr>
        <w:t xml:space="preserve">), </w:t>
      </w:r>
      <w:proofErr w:type="spellStart"/>
      <w:r w:rsidRPr="00AC2079">
        <w:rPr>
          <w:sz w:val="16"/>
          <w:szCs w:val="16"/>
        </w:rPr>
        <w:t>Waterfind</w:t>
      </w:r>
      <w:proofErr w:type="spellEnd"/>
      <w:r w:rsidRPr="00AC2079">
        <w:rPr>
          <w:sz w:val="16"/>
          <w:szCs w:val="16"/>
        </w:rPr>
        <w:t xml:space="preserve"> (</w:t>
      </w:r>
      <w:hyperlink r:id="rId118" w:history="1">
        <w:r w:rsidR="000A37A8" w:rsidRPr="00631B5E">
          <w:rPr>
            <w:rStyle w:val="Hyperlink"/>
            <w:sz w:val="16"/>
            <w:szCs w:val="16"/>
          </w:rPr>
          <w:t>www.waterfind.com.au</w:t>
        </w:r>
      </w:hyperlink>
      <w:r w:rsidRPr="00AC2079">
        <w:rPr>
          <w:sz w:val="16"/>
          <w:szCs w:val="16"/>
        </w:rPr>
        <w:t>)</w:t>
      </w:r>
      <w:r w:rsidR="000A37A8">
        <w:rPr>
          <w:sz w:val="16"/>
          <w:szCs w:val="16"/>
        </w:rPr>
        <w:t xml:space="preserve"> </w:t>
      </w:r>
    </w:p>
    <w:p w:rsidR="00D60D1E" w:rsidRDefault="00D60D1E" w:rsidP="00401ED0">
      <w:pPr>
        <w:rPr>
          <w:sz w:val="18"/>
        </w:rPr>
      </w:pPr>
      <w:r>
        <w:rPr>
          <w:sz w:val="18"/>
        </w:rPr>
        <w:br w:type="page"/>
      </w:r>
    </w:p>
    <w:p w:rsidR="00D60D1E" w:rsidRDefault="00D60D1E" w:rsidP="00EE00DE">
      <w:pPr>
        <w:pStyle w:val="MJAheading2"/>
      </w:pPr>
      <w:bookmarkStart w:id="81" w:name="_Toc441834764"/>
      <w:r>
        <w:t>Barwon Darling: Unregulated</w:t>
      </w:r>
      <w:bookmarkEnd w:id="81"/>
    </w:p>
    <w:p w:rsidR="00D60D1E" w:rsidRDefault="00D60D1E" w:rsidP="00D60D1E">
      <w:pPr>
        <w:pStyle w:val="Caption"/>
      </w:pPr>
      <w:bookmarkStart w:id="82" w:name="_Toc426386664"/>
      <w:r>
        <w:t xml:space="preserve">Figure </w:t>
      </w:r>
      <w:r w:rsidR="00C23339">
        <w:fldChar w:fldCharType="begin"/>
      </w:r>
      <w:r w:rsidR="00134558">
        <w:instrText xml:space="preserve"> SEQ Figure \* ARABIC </w:instrText>
      </w:r>
      <w:r w:rsidR="00C23339">
        <w:fldChar w:fldCharType="separate"/>
      </w:r>
      <w:r w:rsidR="00E00DC7">
        <w:rPr>
          <w:noProof/>
        </w:rPr>
        <w:t>40</w:t>
      </w:r>
      <w:r w:rsidR="00C23339">
        <w:rPr>
          <w:noProof/>
        </w:rPr>
        <w:fldChar w:fldCharType="end"/>
      </w:r>
      <w:r>
        <w:t>: Entitlement market prices and volumes</w:t>
      </w:r>
      <w:bookmarkEnd w:id="82"/>
    </w:p>
    <w:p w:rsidR="0039071F" w:rsidRPr="0039071F" w:rsidRDefault="0039071F" w:rsidP="001A01D2">
      <w:pPr>
        <w:pStyle w:val="MJAnormal"/>
      </w:pPr>
      <w:r>
        <w:rPr>
          <w:noProof/>
          <w:lang w:eastAsia="en-AU"/>
        </w:rPr>
        <w:drawing>
          <wp:inline distT="0" distB="0" distL="0" distR="0">
            <wp:extent cx="5760000" cy="2790569"/>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D60D1E" w:rsidRDefault="00D60D1E" w:rsidP="001A01D2">
      <w:pPr>
        <w:pStyle w:val="MJAnormal"/>
      </w:pPr>
    </w:p>
    <w:p w:rsidR="00D60D1E" w:rsidRDefault="00D60D1E" w:rsidP="00D60D1E">
      <w:pPr>
        <w:pStyle w:val="Caption"/>
      </w:pPr>
      <w:bookmarkStart w:id="83" w:name="_Toc426386605"/>
      <w:r>
        <w:t xml:space="preserve">Table </w:t>
      </w:r>
      <w:r w:rsidR="00C23339">
        <w:fldChar w:fldCharType="begin"/>
      </w:r>
      <w:r w:rsidR="00134558">
        <w:instrText xml:space="preserve"> SEQ Table \* ARABIC </w:instrText>
      </w:r>
      <w:r w:rsidR="00C23339">
        <w:fldChar w:fldCharType="separate"/>
      </w:r>
      <w:r w:rsidR="00E00DC7">
        <w:rPr>
          <w:noProof/>
        </w:rPr>
        <w:t>22</w:t>
      </w:r>
      <w:r w:rsidR="00C23339">
        <w:rPr>
          <w:noProof/>
        </w:rPr>
        <w:fldChar w:fldCharType="end"/>
      </w:r>
      <w:r>
        <w:t>: Entitlement market prices and volumes</w:t>
      </w:r>
      <w:bookmarkEnd w:id="83"/>
    </w:p>
    <w:tbl>
      <w:tblPr>
        <w:tblW w:w="5000" w:type="pct"/>
        <w:tblCellMar>
          <w:left w:w="28" w:type="dxa"/>
          <w:right w:w="28" w:type="dxa"/>
        </w:tblCellMar>
        <w:tblLook w:val="04A0"/>
      </w:tblPr>
      <w:tblGrid>
        <w:gridCol w:w="880"/>
        <w:gridCol w:w="918"/>
        <w:gridCol w:w="873"/>
        <w:gridCol w:w="750"/>
        <w:gridCol w:w="750"/>
        <w:gridCol w:w="750"/>
        <w:gridCol w:w="752"/>
        <w:gridCol w:w="756"/>
        <w:gridCol w:w="854"/>
        <w:gridCol w:w="856"/>
        <w:gridCol w:w="988"/>
      </w:tblGrid>
      <w:tr w:rsidR="00E873CF" w:rsidRPr="00147005" w:rsidTr="001A01D2">
        <w:trPr>
          <w:trHeight w:val="525"/>
        </w:trPr>
        <w:tc>
          <w:tcPr>
            <w:tcW w:w="1463" w:type="pct"/>
            <w:gridSpan w:val="3"/>
            <w:tcBorders>
              <w:top w:val="nil"/>
              <w:left w:val="nil"/>
              <w:bottom w:val="nil"/>
              <w:right w:val="nil"/>
            </w:tcBorders>
            <w:shd w:val="clear" w:color="000000" w:fill="0093D0"/>
            <w:noWrap/>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2059" w:type="pct"/>
            <w:gridSpan w:val="5"/>
            <w:tcBorders>
              <w:top w:val="nil"/>
              <w:left w:val="single" w:sz="4" w:space="0" w:color="C5D9F1"/>
              <w:bottom w:val="nil"/>
              <w:right w:val="single" w:sz="4" w:space="0" w:color="C5D9F1"/>
            </w:tcBorders>
            <w:shd w:val="clear" w:color="000000" w:fill="0093D0"/>
            <w:noWrap/>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E873CF" w:rsidRPr="00147005">
              <w:rPr>
                <w:rFonts w:eastAsia="Times New Roman"/>
                <w:b/>
                <w:bCs/>
                <w:color w:val="FFFFFF"/>
                <w:sz w:val="16"/>
                <w:szCs w:val="20"/>
                <w:lang w:eastAsia="en-AU"/>
              </w:rPr>
              <w:t xml:space="preserve"> 2015 Quarter (in $/ML)</w:t>
            </w:r>
          </w:p>
        </w:tc>
        <w:tc>
          <w:tcPr>
            <w:tcW w:w="468" w:type="pct"/>
            <w:vMerge w:val="restart"/>
            <w:tcBorders>
              <w:top w:val="nil"/>
              <w:left w:val="single" w:sz="4" w:space="0" w:color="C5D9F1"/>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Volume</w:t>
            </w:r>
            <w:r w:rsidR="00E873CF">
              <w:rPr>
                <w:rFonts w:eastAsia="Times New Roman"/>
                <w:b/>
                <w:bCs/>
                <w:color w:val="FFFFFF"/>
                <w:sz w:val="16"/>
                <w:szCs w:val="20"/>
                <w:lang w:eastAsia="en-AU"/>
              </w:rPr>
              <w:t xml:space="preserve"> (ML)</w:t>
            </w:r>
          </w:p>
        </w:tc>
        <w:tc>
          <w:tcPr>
            <w:tcW w:w="469" w:type="pct"/>
            <w:vMerge w:val="restart"/>
            <w:tcBorders>
              <w:top w:val="nil"/>
              <w:left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 of trades</w:t>
            </w:r>
          </w:p>
        </w:tc>
        <w:tc>
          <w:tcPr>
            <w:tcW w:w="541" w:type="pct"/>
            <w:vMerge w:val="restart"/>
            <w:tcBorders>
              <w:top w:val="nil"/>
              <w:left w:val="nil"/>
              <w:right w:val="nil"/>
            </w:tcBorders>
            <w:shd w:val="clear" w:color="000000" w:fill="0093D0"/>
            <w:vAlign w:val="center"/>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E873CF" w:rsidRPr="00147005" w:rsidTr="00C34A8E">
        <w:trPr>
          <w:trHeight w:val="552"/>
        </w:trPr>
        <w:tc>
          <w:tcPr>
            <w:tcW w:w="482"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503" w:type="pct"/>
            <w:tcBorders>
              <w:top w:val="nil"/>
              <w:left w:val="nil"/>
              <w:bottom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w:t>
            </w:r>
          </w:p>
        </w:tc>
        <w:tc>
          <w:tcPr>
            <w:tcW w:w="478"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411" w:type="pct"/>
            <w:tcBorders>
              <w:top w:val="nil"/>
              <w:left w:val="single" w:sz="4" w:space="0" w:color="C5D9F1"/>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411"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412" w:type="pct"/>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414" w:type="pct"/>
            <w:tcBorders>
              <w:top w:val="nil"/>
              <w:left w:val="nil"/>
              <w:bottom w:val="nil"/>
              <w:right w:val="single" w:sz="4" w:space="0" w:color="C5D9F1"/>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468" w:type="pct"/>
            <w:vMerge/>
            <w:tcBorders>
              <w:left w:val="single" w:sz="4" w:space="0" w:color="C5D9F1"/>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469" w:type="pct"/>
            <w:vMerge/>
            <w:tcBorders>
              <w:left w:val="nil"/>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542" w:type="pct"/>
            <w:vMerge/>
            <w:tcBorders>
              <w:left w:val="nil"/>
              <w:bottom w:val="nil"/>
              <w:right w:val="nil"/>
            </w:tcBorders>
          </w:tcPr>
          <w:p w:rsidR="00E873CF" w:rsidRPr="00147005" w:rsidRDefault="00E873CF" w:rsidP="00E873CF">
            <w:pPr>
              <w:spacing w:after="0" w:line="240" w:lineRule="auto"/>
              <w:rPr>
                <w:rFonts w:eastAsia="Times New Roman"/>
                <w:b/>
                <w:bCs/>
                <w:color w:val="FFFFFF"/>
                <w:sz w:val="16"/>
                <w:szCs w:val="20"/>
                <w:lang w:eastAsia="en-AU"/>
              </w:rPr>
            </w:pPr>
          </w:p>
        </w:tc>
      </w:tr>
      <w:tr w:rsidR="001A01D2" w:rsidRPr="00147005" w:rsidTr="00C34A8E">
        <w:trPr>
          <w:trHeight w:val="555"/>
        </w:trPr>
        <w:tc>
          <w:tcPr>
            <w:tcW w:w="482" w:type="pct"/>
            <w:tcBorders>
              <w:top w:val="nil"/>
              <w:left w:val="nil"/>
              <w:bottom w:val="single" w:sz="4" w:space="0" w:color="0093D0"/>
              <w:right w:val="nil"/>
            </w:tcBorders>
            <w:shd w:val="clear" w:color="auto" w:fill="auto"/>
            <w:noWrap/>
            <w:vAlign w:val="center"/>
            <w:hideMark/>
          </w:tcPr>
          <w:p w:rsidR="001A01D2" w:rsidRDefault="001A01D2" w:rsidP="001A01D2">
            <w:pPr>
              <w:spacing w:after="0" w:line="240" w:lineRule="auto"/>
              <w:jc w:val="center"/>
              <w:rPr>
                <w:b/>
                <w:bCs/>
                <w:color w:val="000000"/>
                <w:sz w:val="16"/>
                <w:szCs w:val="16"/>
                <w:lang w:eastAsia="en-AU"/>
              </w:rPr>
            </w:pPr>
            <w:r>
              <w:rPr>
                <w:b/>
                <w:bCs/>
                <w:color w:val="000000"/>
                <w:sz w:val="16"/>
                <w:szCs w:val="16"/>
              </w:rPr>
              <w:t>1,089</w:t>
            </w:r>
          </w:p>
        </w:tc>
        <w:tc>
          <w:tcPr>
            <w:tcW w:w="503" w:type="pct"/>
            <w:tcBorders>
              <w:top w:val="nil"/>
              <w:left w:val="nil"/>
              <w:bottom w:val="single" w:sz="4" w:space="0" w:color="0093D0"/>
              <w:right w:val="nil"/>
            </w:tcBorders>
            <w:shd w:val="clear" w:color="auto" w:fill="auto"/>
            <w:noWrap/>
            <w:vAlign w:val="center"/>
            <w:hideMark/>
          </w:tcPr>
          <w:p w:rsidR="001A01D2" w:rsidRDefault="001A01D2" w:rsidP="001A01D2">
            <w:pPr>
              <w:spacing w:after="0" w:line="240" w:lineRule="auto"/>
              <w:jc w:val="center"/>
              <w:rPr>
                <w:b/>
                <w:bCs/>
                <w:color w:val="000000"/>
                <w:sz w:val="16"/>
                <w:szCs w:val="16"/>
              </w:rPr>
            </w:pPr>
            <w:r>
              <w:rPr>
                <w:b/>
                <w:bCs/>
                <w:color w:val="000000"/>
                <w:sz w:val="16"/>
                <w:szCs w:val="16"/>
              </w:rPr>
              <w:t>955</w:t>
            </w:r>
          </w:p>
        </w:tc>
        <w:tc>
          <w:tcPr>
            <w:tcW w:w="478" w:type="pct"/>
            <w:tcBorders>
              <w:top w:val="nil"/>
              <w:left w:val="nil"/>
              <w:bottom w:val="single" w:sz="4" w:space="0" w:color="0093D0"/>
              <w:right w:val="nil"/>
            </w:tcBorders>
            <w:shd w:val="clear" w:color="auto" w:fill="auto"/>
            <w:noWrap/>
            <w:vAlign w:val="center"/>
            <w:hideMark/>
          </w:tcPr>
          <w:p w:rsidR="001A01D2" w:rsidRDefault="001A01D2" w:rsidP="001A01D2">
            <w:pPr>
              <w:spacing w:after="0" w:line="240" w:lineRule="auto"/>
              <w:jc w:val="center"/>
              <w:rPr>
                <w:b/>
                <w:bCs/>
                <w:color w:val="000000"/>
                <w:sz w:val="16"/>
                <w:szCs w:val="16"/>
              </w:rPr>
            </w:pPr>
            <w:r>
              <w:rPr>
                <w:b/>
                <w:bCs/>
                <w:color w:val="000000"/>
                <w:sz w:val="16"/>
                <w:szCs w:val="16"/>
              </w:rPr>
              <w:t>944</w:t>
            </w:r>
          </w:p>
        </w:tc>
        <w:tc>
          <w:tcPr>
            <w:tcW w:w="411" w:type="pct"/>
            <w:tcBorders>
              <w:top w:val="nil"/>
              <w:left w:val="nil"/>
              <w:bottom w:val="single" w:sz="4" w:space="0" w:color="0093D0"/>
              <w:right w:val="nil"/>
            </w:tcBorders>
            <w:shd w:val="clear" w:color="auto" w:fill="auto"/>
            <w:noWrap/>
            <w:vAlign w:val="center"/>
          </w:tcPr>
          <w:p w:rsidR="001A01D2" w:rsidRDefault="001A01D2" w:rsidP="001A01D2">
            <w:pPr>
              <w:spacing w:after="0" w:line="240" w:lineRule="auto"/>
              <w:jc w:val="center"/>
              <w:rPr>
                <w:b/>
                <w:bCs/>
                <w:color w:val="000000"/>
                <w:sz w:val="16"/>
                <w:szCs w:val="16"/>
              </w:rPr>
            </w:pPr>
            <w:r>
              <w:rPr>
                <w:b/>
                <w:bCs/>
                <w:color w:val="000000"/>
                <w:sz w:val="16"/>
                <w:szCs w:val="16"/>
              </w:rPr>
              <w:t>950</w:t>
            </w:r>
          </w:p>
        </w:tc>
        <w:tc>
          <w:tcPr>
            <w:tcW w:w="411" w:type="pct"/>
            <w:tcBorders>
              <w:top w:val="nil"/>
              <w:left w:val="nil"/>
              <w:bottom w:val="single" w:sz="4" w:space="0" w:color="0093D0"/>
              <w:right w:val="nil"/>
            </w:tcBorders>
            <w:shd w:val="clear" w:color="auto" w:fill="auto"/>
            <w:noWrap/>
            <w:vAlign w:val="center"/>
          </w:tcPr>
          <w:p w:rsidR="001A01D2" w:rsidRDefault="001A01D2" w:rsidP="001A01D2">
            <w:pPr>
              <w:spacing w:after="0" w:line="240" w:lineRule="auto"/>
              <w:jc w:val="center"/>
              <w:rPr>
                <w:b/>
                <w:bCs/>
                <w:color w:val="000000"/>
                <w:sz w:val="16"/>
                <w:szCs w:val="16"/>
              </w:rPr>
            </w:pPr>
            <w:r>
              <w:rPr>
                <w:b/>
                <w:bCs/>
                <w:color w:val="000000"/>
                <w:sz w:val="16"/>
                <w:szCs w:val="16"/>
              </w:rPr>
              <w:t>1,085</w:t>
            </w:r>
          </w:p>
        </w:tc>
        <w:tc>
          <w:tcPr>
            <w:tcW w:w="411" w:type="pct"/>
            <w:tcBorders>
              <w:top w:val="nil"/>
              <w:left w:val="nil"/>
              <w:bottom w:val="single" w:sz="4" w:space="0" w:color="0093D0"/>
              <w:right w:val="nil"/>
            </w:tcBorders>
            <w:shd w:val="clear" w:color="auto" w:fill="auto"/>
            <w:noWrap/>
            <w:vAlign w:val="center"/>
          </w:tcPr>
          <w:p w:rsidR="001A01D2" w:rsidRDefault="001A01D2" w:rsidP="001A01D2">
            <w:pPr>
              <w:spacing w:after="0" w:line="240" w:lineRule="auto"/>
              <w:jc w:val="center"/>
              <w:rPr>
                <w:b/>
                <w:bCs/>
                <w:color w:val="000000"/>
                <w:sz w:val="16"/>
                <w:szCs w:val="16"/>
              </w:rPr>
            </w:pPr>
            <w:r>
              <w:rPr>
                <w:b/>
                <w:bCs/>
                <w:color w:val="000000"/>
                <w:sz w:val="16"/>
                <w:szCs w:val="16"/>
              </w:rPr>
              <w:t>1,040</w:t>
            </w:r>
          </w:p>
        </w:tc>
        <w:tc>
          <w:tcPr>
            <w:tcW w:w="412" w:type="pct"/>
            <w:tcBorders>
              <w:top w:val="nil"/>
              <w:left w:val="nil"/>
              <w:bottom w:val="single" w:sz="4" w:space="0" w:color="0093D0"/>
              <w:right w:val="nil"/>
            </w:tcBorders>
            <w:shd w:val="clear" w:color="auto" w:fill="auto"/>
            <w:noWrap/>
            <w:vAlign w:val="center"/>
          </w:tcPr>
          <w:p w:rsidR="001A01D2" w:rsidRDefault="001A01D2" w:rsidP="001A01D2">
            <w:pPr>
              <w:spacing w:after="0" w:line="240" w:lineRule="auto"/>
              <w:jc w:val="center"/>
              <w:rPr>
                <w:b/>
                <w:bCs/>
                <w:color w:val="000000"/>
                <w:sz w:val="16"/>
                <w:szCs w:val="16"/>
              </w:rPr>
            </w:pPr>
            <w:r>
              <w:rPr>
                <w:b/>
                <w:bCs/>
                <w:color w:val="000000"/>
                <w:sz w:val="16"/>
                <w:szCs w:val="16"/>
              </w:rPr>
              <w:t>995</w:t>
            </w:r>
          </w:p>
        </w:tc>
        <w:tc>
          <w:tcPr>
            <w:tcW w:w="414" w:type="pct"/>
            <w:tcBorders>
              <w:top w:val="nil"/>
              <w:left w:val="nil"/>
              <w:bottom w:val="single" w:sz="4" w:space="0" w:color="0093D0"/>
              <w:right w:val="nil"/>
            </w:tcBorders>
            <w:shd w:val="clear" w:color="auto" w:fill="auto"/>
            <w:noWrap/>
            <w:vAlign w:val="center"/>
            <w:hideMark/>
          </w:tcPr>
          <w:p w:rsidR="001A01D2" w:rsidRDefault="001A01D2" w:rsidP="001A01D2">
            <w:pPr>
              <w:spacing w:after="0" w:line="240" w:lineRule="auto"/>
              <w:jc w:val="center"/>
              <w:rPr>
                <w:b/>
                <w:bCs/>
                <w:color w:val="000000"/>
                <w:sz w:val="16"/>
                <w:szCs w:val="16"/>
              </w:rPr>
            </w:pPr>
            <w:r>
              <w:rPr>
                <w:b/>
                <w:bCs/>
                <w:color w:val="000000"/>
                <w:sz w:val="16"/>
                <w:szCs w:val="16"/>
              </w:rPr>
              <w:t>-</w:t>
            </w:r>
          </w:p>
        </w:tc>
        <w:tc>
          <w:tcPr>
            <w:tcW w:w="468" w:type="pct"/>
            <w:tcBorders>
              <w:top w:val="nil"/>
              <w:left w:val="nil"/>
              <w:bottom w:val="single" w:sz="4" w:space="0" w:color="0093D0"/>
              <w:right w:val="nil"/>
            </w:tcBorders>
            <w:shd w:val="clear" w:color="auto" w:fill="auto"/>
            <w:noWrap/>
            <w:vAlign w:val="center"/>
            <w:hideMark/>
          </w:tcPr>
          <w:p w:rsidR="001A01D2" w:rsidRDefault="001A01D2" w:rsidP="001A01D2">
            <w:pPr>
              <w:spacing w:after="0" w:line="240" w:lineRule="auto"/>
              <w:jc w:val="center"/>
              <w:rPr>
                <w:b/>
                <w:bCs/>
                <w:color w:val="000000"/>
                <w:sz w:val="16"/>
                <w:szCs w:val="16"/>
              </w:rPr>
            </w:pPr>
            <w:r>
              <w:rPr>
                <w:b/>
                <w:bCs/>
                <w:color w:val="000000"/>
                <w:sz w:val="16"/>
                <w:szCs w:val="16"/>
              </w:rPr>
              <w:t>6,404</w:t>
            </w:r>
          </w:p>
        </w:tc>
        <w:tc>
          <w:tcPr>
            <w:tcW w:w="469" w:type="pct"/>
            <w:tcBorders>
              <w:top w:val="nil"/>
              <w:left w:val="nil"/>
              <w:bottom w:val="single" w:sz="4" w:space="0" w:color="0093D0"/>
              <w:right w:val="nil"/>
            </w:tcBorders>
            <w:shd w:val="clear" w:color="auto" w:fill="auto"/>
            <w:noWrap/>
            <w:vAlign w:val="center"/>
            <w:hideMark/>
          </w:tcPr>
          <w:p w:rsidR="001A01D2" w:rsidRDefault="001A01D2" w:rsidP="001A01D2">
            <w:pPr>
              <w:spacing w:after="0" w:line="240" w:lineRule="auto"/>
              <w:jc w:val="center"/>
              <w:rPr>
                <w:b/>
                <w:bCs/>
                <w:color w:val="000000"/>
                <w:sz w:val="16"/>
                <w:szCs w:val="16"/>
              </w:rPr>
            </w:pPr>
            <w:r>
              <w:rPr>
                <w:b/>
                <w:bCs/>
                <w:color w:val="000000"/>
                <w:sz w:val="16"/>
                <w:szCs w:val="16"/>
              </w:rPr>
              <w:t>4</w:t>
            </w:r>
          </w:p>
        </w:tc>
        <w:tc>
          <w:tcPr>
            <w:tcW w:w="542" w:type="pct"/>
            <w:tcBorders>
              <w:top w:val="nil"/>
              <w:left w:val="nil"/>
              <w:bottom w:val="single" w:sz="4" w:space="0" w:color="0093D0"/>
              <w:right w:val="nil"/>
            </w:tcBorders>
            <w:vAlign w:val="center"/>
          </w:tcPr>
          <w:p w:rsidR="001A01D2" w:rsidRPr="00C55EDA" w:rsidRDefault="00C55EDA" w:rsidP="001A01D2">
            <w:pPr>
              <w:spacing w:after="0" w:line="240" w:lineRule="auto"/>
              <w:jc w:val="center"/>
              <w:rPr>
                <w:rFonts w:eastAsia="Times New Roman"/>
                <w:bCs/>
                <w:color w:val="000000"/>
                <w:sz w:val="16"/>
                <w:szCs w:val="20"/>
                <w:lang w:eastAsia="en-AU"/>
              </w:rPr>
            </w:pPr>
            <w:r w:rsidRPr="00C55EDA">
              <w:rPr>
                <w:rFonts w:eastAsia="Times New Roman"/>
                <w:bCs/>
                <w:color w:val="000000"/>
                <w:sz w:val="16"/>
                <w:szCs w:val="20"/>
                <w:lang w:eastAsia="en-AU"/>
              </w:rPr>
              <w:t>No listings</w:t>
            </w:r>
          </w:p>
        </w:tc>
      </w:tr>
    </w:tbl>
    <w:p w:rsidR="00B144FF" w:rsidRDefault="00B144FF" w:rsidP="001A01D2">
      <w:pPr>
        <w:pStyle w:val="MJAnormal"/>
      </w:pPr>
    </w:p>
    <w:p w:rsidR="001A01D2" w:rsidRDefault="001A01D2" w:rsidP="001A01D2">
      <w:pPr>
        <w:pStyle w:val="Caption"/>
      </w:pPr>
      <w:r>
        <w:t xml:space="preserve">Figure </w:t>
      </w:r>
      <w:fldSimple w:instr=" SEQ Figure \* ARABIC ">
        <w:r w:rsidR="00E00DC7">
          <w:rPr>
            <w:noProof/>
          </w:rPr>
          <w:t>41</w:t>
        </w:r>
      </w:fldSimple>
      <w:r>
        <w:t>: Entitlement market price range by volume</w:t>
      </w:r>
    </w:p>
    <w:p w:rsidR="001A01D2" w:rsidRDefault="001A01D2" w:rsidP="00B144FF">
      <w:r>
        <w:rPr>
          <w:noProof/>
          <w:lang w:eastAsia="en-AU"/>
        </w:rPr>
        <w:drawing>
          <wp:inline distT="0" distB="0" distL="0" distR="0">
            <wp:extent cx="5760000" cy="207310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073101"/>
                    </a:xfrm>
                    <a:prstGeom prst="rect">
                      <a:avLst/>
                    </a:prstGeom>
                    <a:noFill/>
                  </pic:spPr>
                </pic:pic>
              </a:graphicData>
            </a:graphic>
          </wp:inline>
        </w:drawing>
      </w:r>
    </w:p>
    <w:p w:rsidR="001A01D2" w:rsidRPr="00B144FF" w:rsidRDefault="001A01D2" w:rsidP="001A01D2">
      <w:pPr>
        <w:pStyle w:val="MJAnormal"/>
      </w:pPr>
    </w:p>
    <w:p w:rsidR="002D50B8" w:rsidRPr="00564276" w:rsidRDefault="002D50B8" w:rsidP="002D50B8">
      <w:pPr>
        <w:pStyle w:val="MJAsource"/>
        <w:rPr>
          <w:sz w:val="16"/>
        </w:rPr>
      </w:pPr>
      <w:r w:rsidRPr="00074B0E">
        <w:rPr>
          <w:b/>
          <w:sz w:val="16"/>
          <w:szCs w:val="16"/>
        </w:rPr>
        <w:t xml:space="preserve">Data Sources: </w:t>
      </w:r>
      <w:r w:rsidRPr="00074B0E">
        <w:rPr>
          <w:sz w:val="16"/>
          <w:szCs w:val="16"/>
        </w:rPr>
        <w:t>NSW Water</w:t>
      </w:r>
      <w:r w:rsidRPr="00564276">
        <w:rPr>
          <w:sz w:val="16"/>
        </w:rPr>
        <w:t xml:space="preserve"> Register (</w:t>
      </w:r>
      <w:hyperlink r:id="rId121" w:history="1">
        <w:r w:rsidRPr="00564276">
          <w:rPr>
            <w:rStyle w:val="Hyperlink"/>
            <w:color w:val="auto"/>
            <w:sz w:val="16"/>
          </w:rPr>
          <w:t>http://registers.water.nsw.gov.au/wma/WaterShareIntraWSLocSearch.jsp?selectedRegister=WaterShare</w:t>
        </w:r>
      </w:hyperlink>
      <w:r>
        <w:rPr>
          <w:rStyle w:val="Hyperlink"/>
          <w:color w:val="auto"/>
          <w:sz w:val="16"/>
        </w:rPr>
        <w:t xml:space="preserve">, </w:t>
      </w:r>
      <w:r w:rsidRPr="00564276">
        <w:rPr>
          <w:rStyle w:val="Hyperlink"/>
          <w:color w:val="auto"/>
          <w:sz w:val="16"/>
        </w:rPr>
        <w:t>http://www.water.nsw.gov.au/water-licensing/registers</w:t>
      </w:r>
      <w:r w:rsidRPr="00564276">
        <w:rPr>
          <w:sz w:val="16"/>
        </w:rPr>
        <w:t xml:space="preserve">), </w:t>
      </w:r>
      <w:proofErr w:type="spellStart"/>
      <w:r w:rsidRPr="00564276">
        <w:rPr>
          <w:sz w:val="16"/>
        </w:rPr>
        <w:t>Waterfind</w:t>
      </w:r>
      <w:proofErr w:type="spellEnd"/>
      <w:r w:rsidRPr="00564276">
        <w:rPr>
          <w:sz w:val="16"/>
        </w:rPr>
        <w:t xml:space="preserve"> (</w:t>
      </w:r>
      <w:hyperlink r:id="rId122" w:history="1">
        <w:r w:rsidR="000A37A8" w:rsidRPr="00631B5E">
          <w:rPr>
            <w:rStyle w:val="Hyperlink"/>
            <w:sz w:val="16"/>
          </w:rPr>
          <w:t>www.waterfind.com.au</w:t>
        </w:r>
      </w:hyperlink>
      <w:r w:rsidRPr="00564276">
        <w:rPr>
          <w:sz w:val="16"/>
        </w:rPr>
        <w:t>)</w:t>
      </w:r>
      <w:r w:rsidR="000A37A8">
        <w:rPr>
          <w:sz w:val="16"/>
        </w:rPr>
        <w:t xml:space="preserve"> </w:t>
      </w:r>
    </w:p>
    <w:p w:rsidR="00D60D1E" w:rsidRDefault="00D60D1E" w:rsidP="00401ED0">
      <w:pPr>
        <w:rPr>
          <w:sz w:val="18"/>
        </w:rPr>
      </w:pPr>
      <w:r>
        <w:rPr>
          <w:sz w:val="18"/>
        </w:rPr>
        <w:br w:type="page"/>
      </w:r>
    </w:p>
    <w:p w:rsidR="00D60D1E" w:rsidRDefault="00D60D1E" w:rsidP="00EE00DE">
      <w:pPr>
        <w:pStyle w:val="MJAheading2"/>
      </w:pPr>
      <w:bookmarkStart w:id="84" w:name="_Toc441834765"/>
      <w:r>
        <w:t>Lachlan: General Security</w:t>
      </w:r>
      <w:bookmarkEnd w:id="84"/>
    </w:p>
    <w:p w:rsidR="00D60D1E" w:rsidRDefault="00D60D1E" w:rsidP="00D60D1E">
      <w:pPr>
        <w:pStyle w:val="Caption"/>
      </w:pPr>
      <w:bookmarkStart w:id="85" w:name="_Toc426386672"/>
      <w:r>
        <w:t xml:space="preserve">Figure </w:t>
      </w:r>
      <w:r w:rsidR="00C23339">
        <w:fldChar w:fldCharType="begin"/>
      </w:r>
      <w:r w:rsidR="00134558">
        <w:instrText xml:space="preserve"> SEQ Figure \* ARABIC </w:instrText>
      </w:r>
      <w:r w:rsidR="00C23339">
        <w:fldChar w:fldCharType="separate"/>
      </w:r>
      <w:r w:rsidR="00E00DC7">
        <w:rPr>
          <w:noProof/>
        </w:rPr>
        <w:t>42</w:t>
      </w:r>
      <w:r w:rsidR="00C23339">
        <w:rPr>
          <w:noProof/>
        </w:rPr>
        <w:fldChar w:fldCharType="end"/>
      </w:r>
      <w:r>
        <w:t>: Entitlement market prices and volumes</w:t>
      </w:r>
      <w:bookmarkEnd w:id="85"/>
    </w:p>
    <w:p w:rsidR="001A01D2" w:rsidRPr="001A01D2" w:rsidRDefault="001A01D2" w:rsidP="001A01D2">
      <w:pPr>
        <w:pStyle w:val="MJAnormal"/>
      </w:pPr>
      <w:r>
        <w:rPr>
          <w:noProof/>
          <w:lang w:eastAsia="en-AU"/>
        </w:rPr>
        <w:drawing>
          <wp:inline distT="0" distB="0" distL="0" distR="0">
            <wp:extent cx="5760000" cy="2790569"/>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790569"/>
                    </a:xfrm>
                    <a:prstGeom prst="rect">
                      <a:avLst/>
                    </a:prstGeom>
                    <a:noFill/>
                  </pic:spPr>
                </pic:pic>
              </a:graphicData>
            </a:graphic>
          </wp:inline>
        </w:drawing>
      </w:r>
    </w:p>
    <w:p w:rsidR="00D60D1E" w:rsidRDefault="00D60D1E" w:rsidP="001A01D2">
      <w:pPr>
        <w:pStyle w:val="MJAnormal"/>
      </w:pPr>
    </w:p>
    <w:p w:rsidR="00D60D1E" w:rsidRDefault="00D60D1E" w:rsidP="00D60D1E">
      <w:pPr>
        <w:pStyle w:val="Caption"/>
      </w:pPr>
      <w:bookmarkStart w:id="86" w:name="_Toc426386613"/>
      <w:r>
        <w:t xml:space="preserve">Table </w:t>
      </w:r>
      <w:r w:rsidR="00C23339">
        <w:fldChar w:fldCharType="begin"/>
      </w:r>
      <w:r w:rsidR="00134558">
        <w:instrText xml:space="preserve"> SEQ Table \* ARABIC </w:instrText>
      </w:r>
      <w:r w:rsidR="00C23339">
        <w:fldChar w:fldCharType="separate"/>
      </w:r>
      <w:r w:rsidR="00E00DC7">
        <w:rPr>
          <w:noProof/>
        </w:rPr>
        <w:t>23</w:t>
      </w:r>
      <w:r w:rsidR="00C23339">
        <w:rPr>
          <w:noProof/>
        </w:rPr>
        <w:fldChar w:fldCharType="end"/>
      </w:r>
      <w:r>
        <w:t>: Entitlement market prices and volumes</w:t>
      </w:r>
      <w:bookmarkEnd w:id="86"/>
    </w:p>
    <w:tbl>
      <w:tblPr>
        <w:tblW w:w="0" w:type="auto"/>
        <w:tblLayout w:type="fixed"/>
        <w:tblCellMar>
          <w:left w:w="28" w:type="dxa"/>
          <w:right w:w="28" w:type="dxa"/>
        </w:tblCellMar>
        <w:tblLook w:val="04A0"/>
      </w:tblPr>
      <w:tblGrid>
        <w:gridCol w:w="875"/>
        <w:gridCol w:w="912"/>
        <w:gridCol w:w="868"/>
        <w:gridCol w:w="745"/>
        <w:gridCol w:w="745"/>
        <w:gridCol w:w="746"/>
        <w:gridCol w:w="746"/>
        <w:gridCol w:w="752"/>
        <w:gridCol w:w="850"/>
        <w:gridCol w:w="850"/>
        <w:gridCol w:w="982"/>
      </w:tblGrid>
      <w:tr w:rsidR="00E873CF" w:rsidRPr="00147005" w:rsidTr="00EA394F">
        <w:trPr>
          <w:trHeight w:val="525"/>
        </w:trPr>
        <w:tc>
          <w:tcPr>
            <w:tcW w:w="2655" w:type="dxa"/>
            <w:gridSpan w:val="3"/>
            <w:tcBorders>
              <w:top w:val="nil"/>
              <w:left w:val="nil"/>
              <w:bottom w:val="nil"/>
              <w:right w:val="nil"/>
            </w:tcBorders>
            <w:shd w:val="clear" w:color="000000" w:fill="0093D0"/>
            <w:noWrap/>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Volume weighted average price ($/ML)</w:t>
            </w:r>
          </w:p>
        </w:tc>
        <w:tc>
          <w:tcPr>
            <w:tcW w:w="3734" w:type="dxa"/>
            <w:gridSpan w:val="5"/>
            <w:tcBorders>
              <w:top w:val="nil"/>
              <w:left w:val="single" w:sz="4" w:space="0" w:color="C5D9F1"/>
              <w:bottom w:val="nil"/>
              <w:right w:val="single" w:sz="4" w:space="0" w:color="C5D9F1"/>
            </w:tcBorders>
            <w:shd w:val="clear" w:color="000000" w:fill="0093D0"/>
            <w:noWrap/>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December</w:t>
            </w:r>
            <w:r w:rsidR="00E873CF" w:rsidRPr="00147005">
              <w:rPr>
                <w:rFonts w:eastAsia="Times New Roman"/>
                <w:b/>
                <w:bCs/>
                <w:color w:val="FFFFFF"/>
                <w:sz w:val="16"/>
                <w:szCs w:val="20"/>
                <w:lang w:eastAsia="en-AU"/>
              </w:rPr>
              <w:t xml:space="preserve"> 2015 Quarter (in $/ML)</w:t>
            </w:r>
          </w:p>
        </w:tc>
        <w:tc>
          <w:tcPr>
            <w:tcW w:w="850" w:type="dxa"/>
            <w:vMerge w:val="restart"/>
            <w:tcBorders>
              <w:top w:val="nil"/>
              <w:left w:val="single" w:sz="4" w:space="0" w:color="C5D9F1"/>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Volume</w:t>
            </w:r>
            <w:r w:rsidR="00E873CF">
              <w:rPr>
                <w:rFonts w:eastAsia="Times New Roman"/>
                <w:b/>
                <w:bCs/>
                <w:color w:val="FFFFFF"/>
                <w:sz w:val="16"/>
                <w:szCs w:val="20"/>
                <w:lang w:eastAsia="en-AU"/>
              </w:rPr>
              <w:t xml:space="preserve"> (ML)</w:t>
            </w:r>
          </w:p>
        </w:tc>
        <w:tc>
          <w:tcPr>
            <w:tcW w:w="850" w:type="dxa"/>
            <w:vMerge w:val="restart"/>
            <w:tcBorders>
              <w:top w:val="nil"/>
              <w:left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 # of trades</w:t>
            </w:r>
          </w:p>
        </w:tc>
        <w:tc>
          <w:tcPr>
            <w:tcW w:w="982" w:type="dxa"/>
            <w:vMerge w:val="restart"/>
            <w:tcBorders>
              <w:top w:val="nil"/>
              <w:left w:val="nil"/>
              <w:right w:val="nil"/>
            </w:tcBorders>
            <w:shd w:val="clear" w:color="000000" w:fill="0093D0"/>
            <w:vAlign w:val="center"/>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Market Spot Price ($/ML</w:t>
            </w:r>
            <w:r>
              <w:rPr>
                <w:b/>
                <w:color w:val="FFFFFF"/>
                <w:sz w:val="18"/>
              </w:rPr>
              <w:t>)</w:t>
            </w:r>
          </w:p>
        </w:tc>
      </w:tr>
      <w:tr w:rsidR="00E873CF" w:rsidRPr="00147005" w:rsidTr="00EA394F">
        <w:trPr>
          <w:trHeight w:val="552"/>
        </w:trPr>
        <w:tc>
          <w:tcPr>
            <w:tcW w:w="875"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Month of </w:t>
            </w:r>
            <w:r w:rsidR="004F1321">
              <w:rPr>
                <w:rFonts w:eastAsia="Times New Roman"/>
                <w:b/>
                <w:bCs/>
                <w:color w:val="FFFFFF"/>
                <w:sz w:val="16"/>
                <w:szCs w:val="20"/>
                <w:lang w:eastAsia="en-AU"/>
              </w:rPr>
              <w:t>Dec</w:t>
            </w:r>
            <w:r w:rsidRPr="00147005">
              <w:rPr>
                <w:rFonts w:eastAsia="Times New Roman"/>
                <w:b/>
                <w:bCs/>
                <w:color w:val="FFFFFF"/>
                <w:sz w:val="16"/>
                <w:szCs w:val="20"/>
                <w:lang w:eastAsia="en-AU"/>
              </w:rPr>
              <w:t xml:space="preserve"> 2015</w:t>
            </w:r>
          </w:p>
        </w:tc>
        <w:tc>
          <w:tcPr>
            <w:tcW w:w="912" w:type="dxa"/>
            <w:tcBorders>
              <w:top w:val="nil"/>
              <w:left w:val="nil"/>
              <w:bottom w:val="nil"/>
              <w:right w:val="nil"/>
            </w:tcBorders>
            <w:shd w:val="clear" w:color="000000" w:fill="0093D0"/>
            <w:vAlign w:val="center"/>
            <w:hideMark/>
          </w:tcPr>
          <w:p w:rsidR="00E873CF" w:rsidRPr="00147005" w:rsidRDefault="004F1321"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Dec</w:t>
            </w:r>
            <w:r w:rsidR="00E873CF" w:rsidRPr="00147005">
              <w:rPr>
                <w:rFonts w:eastAsia="Times New Roman"/>
                <w:b/>
                <w:bCs/>
                <w:color w:val="FFFFFF"/>
                <w:sz w:val="16"/>
                <w:szCs w:val="20"/>
                <w:lang w:eastAsia="en-AU"/>
              </w:rPr>
              <w:t xml:space="preserve"> 2015 Quarter</w:t>
            </w:r>
          </w:p>
        </w:tc>
        <w:tc>
          <w:tcPr>
            <w:tcW w:w="868"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 xml:space="preserve">YTD </w:t>
            </w:r>
          </w:p>
        </w:tc>
        <w:tc>
          <w:tcPr>
            <w:tcW w:w="745" w:type="dxa"/>
            <w:tcBorders>
              <w:top w:val="nil"/>
              <w:left w:val="single" w:sz="4" w:space="0" w:color="C5D9F1"/>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Pr>
                <w:rFonts w:eastAsia="Times New Roman"/>
                <w:b/>
                <w:bCs/>
                <w:color w:val="FFFFFF"/>
                <w:sz w:val="16"/>
                <w:szCs w:val="20"/>
                <w:lang w:eastAsia="en-AU"/>
              </w:rPr>
              <w:t>25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745"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75</w:t>
            </w:r>
            <w:r w:rsidRPr="00E873CF">
              <w:rPr>
                <w:rFonts w:eastAsia="Times New Roman"/>
                <w:b/>
                <w:bCs/>
                <w:color w:val="FFFFFF"/>
                <w:sz w:val="16"/>
                <w:szCs w:val="20"/>
                <w:vertAlign w:val="superscript"/>
                <w:lang w:eastAsia="en-AU"/>
              </w:rPr>
              <w:t>th</w:t>
            </w:r>
            <w:r>
              <w:rPr>
                <w:rFonts w:eastAsia="Times New Roman"/>
                <w:b/>
                <w:bCs/>
                <w:color w:val="FFFFFF"/>
                <w:sz w:val="16"/>
                <w:szCs w:val="20"/>
                <w:lang w:eastAsia="en-AU"/>
              </w:rPr>
              <w:t xml:space="preserve"> </w:t>
            </w:r>
            <w:r w:rsidRPr="00147005">
              <w:rPr>
                <w:rFonts w:eastAsia="Times New Roman"/>
                <w:b/>
                <w:bCs/>
                <w:color w:val="FFFFFF"/>
                <w:sz w:val="16"/>
                <w:szCs w:val="20"/>
                <w:lang w:eastAsia="en-AU"/>
              </w:rPr>
              <w:t>percentile</w:t>
            </w:r>
          </w:p>
        </w:tc>
        <w:tc>
          <w:tcPr>
            <w:tcW w:w="746"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Median</w:t>
            </w:r>
          </w:p>
        </w:tc>
        <w:tc>
          <w:tcPr>
            <w:tcW w:w="746" w:type="dxa"/>
            <w:tcBorders>
              <w:top w:val="nil"/>
              <w:left w:val="nil"/>
              <w:bottom w:val="nil"/>
              <w:right w:val="nil"/>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Mean</w:t>
            </w:r>
          </w:p>
        </w:tc>
        <w:tc>
          <w:tcPr>
            <w:tcW w:w="752" w:type="dxa"/>
            <w:tcBorders>
              <w:top w:val="nil"/>
              <w:left w:val="nil"/>
              <w:bottom w:val="nil"/>
              <w:right w:val="single" w:sz="4" w:space="0" w:color="C5D9F1"/>
            </w:tcBorders>
            <w:shd w:val="clear" w:color="000000" w:fill="0093D0"/>
            <w:vAlign w:val="center"/>
            <w:hideMark/>
          </w:tcPr>
          <w:p w:rsidR="00E873CF" w:rsidRPr="00147005" w:rsidRDefault="00E873CF" w:rsidP="00E873CF">
            <w:pPr>
              <w:spacing w:after="0" w:line="240" w:lineRule="auto"/>
              <w:jc w:val="center"/>
              <w:rPr>
                <w:rFonts w:eastAsia="Times New Roman"/>
                <w:b/>
                <w:bCs/>
                <w:color w:val="FFFFFF"/>
                <w:sz w:val="16"/>
                <w:szCs w:val="20"/>
                <w:lang w:eastAsia="en-AU"/>
              </w:rPr>
            </w:pPr>
            <w:r w:rsidRPr="00147005">
              <w:rPr>
                <w:rFonts w:eastAsia="Times New Roman"/>
                <w:b/>
                <w:bCs/>
                <w:color w:val="FFFFFF"/>
                <w:sz w:val="16"/>
                <w:szCs w:val="20"/>
                <w:lang w:eastAsia="en-AU"/>
              </w:rPr>
              <w:t>Mode</w:t>
            </w:r>
          </w:p>
        </w:tc>
        <w:tc>
          <w:tcPr>
            <w:tcW w:w="850" w:type="dxa"/>
            <w:vMerge/>
            <w:tcBorders>
              <w:left w:val="single" w:sz="4" w:space="0" w:color="C5D9F1"/>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850" w:type="dxa"/>
            <w:vMerge/>
            <w:tcBorders>
              <w:left w:val="nil"/>
              <w:bottom w:val="nil"/>
              <w:right w:val="nil"/>
            </w:tcBorders>
            <w:vAlign w:val="center"/>
            <w:hideMark/>
          </w:tcPr>
          <w:p w:rsidR="00E873CF" w:rsidRPr="00147005" w:rsidRDefault="00E873CF" w:rsidP="00E873CF">
            <w:pPr>
              <w:spacing w:after="0" w:line="240" w:lineRule="auto"/>
              <w:rPr>
                <w:rFonts w:eastAsia="Times New Roman"/>
                <w:b/>
                <w:bCs/>
                <w:color w:val="FFFFFF"/>
                <w:sz w:val="16"/>
                <w:szCs w:val="20"/>
                <w:lang w:eastAsia="en-AU"/>
              </w:rPr>
            </w:pPr>
          </w:p>
        </w:tc>
        <w:tc>
          <w:tcPr>
            <w:tcW w:w="982" w:type="dxa"/>
            <w:vMerge/>
            <w:tcBorders>
              <w:left w:val="nil"/>
              <w:bottom w:val="nil"/>
              <w:right w:val="nil"/>
            </w:tcBorders>
          </w:tcPr>
          <w:p w:rsidR="00E873CF" w:rsidRPr="00147005" w:rsidRDefault="00E873CF" w:rsidP="00E873CF">
            <w:pPr>
              <w:spacing w:after="0" w:line="240" w:lineRule="auto"/>
              <w:rPr>
                <w:rFonts w:eastAsia="Times New Roman"/>
                <w:b/>
                <w:bCs/>
                <w:color w:val="FFFFFF"/>
                <w:sz w:val="16"/>
                <w:szCs w:val="20"/>
                <w:lang w:eastAsia="en-AU"/>
              </w:rPr>
            </w:pPr>
          </w:p>
        </w:tc>
      </w:tr>
      <w:tr w:rsidR="001A01D2" w:rsidRPr="00147005" w:rsidTr="00EA394F">
        <w:trPr>
          <w:trHeight w:val="555"/>
        </w:trPr>
        <w:tc>
          <w:tcPr>
            <w:tcW w:w="875" w:type="dxa"/>
            <w:tcBorders>
              <w:top w:val="nil"/>
              <w:left w:val="nil"/>
              <w:bottom w:val="single" w:sz="4" w:space="0" w:color="0093D0"/>
              <w:right w:val="nil"/>
            </w:tcBorders>
            <w:shd w:val="clear" w:color="auto" w:fill="auto"/>
            <w:noWrap/>
            <w:vAlign w:val="center"/>
            <w:hideMark/>
          </w:tcPr>
          <w:p w:rsidR="001A01D2" w:rsidRDefault="001A01D2" w:rsidP="001A01D2">
            <w:pPr>
              <w:spacing w:after="0" w:line="240" w:lineRule="auto"/>
              <w:jc w:val="center"/>
              <w:rPr>
                <w:b/>
                <w:bCs/>
                <w:color w:val="000000"/>
                <w:sz w:val="16"/>
                <w:szCs w:val="16"/>
                <w:lang w:eastAsia="en-AU"/>
              </w:rPr>
            </w:pPr>
            <w:r>
              <w:rPr>
                <w:b/>
                <w:bCs/>
                <w:color w:val="000000"/>
                <w:sz w:val="16"/>
                <w:szCs w:val="16"/>
              </w:rPr>
              <w:t>441</w:t>
            </w:r>
          </w:p>
        </w:tc>
        <w:tc>
          <w:tcPr>
            <w:tcW w:w="912" w:type="dxa"/>
            <w:tcBorders>
              <w:top w:val="nil"/>
              <w:left w:val="nil"/>
              <w:bottom w:val="single" w:sz="4" w:space="0" w:color="0093D0"/>
              <w:right w:val="nil"/>
            </w:tcBorders>
            <w:shd w:val="clear" w:color="auto" w:fill="auto"/>
            <w:noWrap/>
            <w:vAlign w:val="center"/>
            <w:hideMark/>
          </w:tcPr>
          <w:p w:rsidR="001A01D2" w:rsidRDefault="001A01D2" w:rsidP="001A01D2">
            <w:pPr>
              <w:spacing w:after="0" w:line="240" w:lineRule="auto"/>
              <w:jc w:val="center"/>
              <w:rPr>
                <w:b/>
                <w:bCs/>
                <w:color w:val="000000"/>
                <w:sz w:val="16"/>
                <w:szCs w:val="16"/>
              </w:rPr>
            </w:pPr>
            <w:r>
              <w:rPr>
                <w:b/>
                <w:bCs/>
                <w:color w:val="000000"/>
                <w:sz w:val="16"/>
                <w:szCs w:val="16"/>
              </w:rPr>
              <w:t>442</w:t>
            </w:r>
          </w:p>
        </w:tc>
        <w:tc>
          <w:tcPr>
            <w:tcW w:w="868" w:type="dxa"/>
            <w:tcBorders>
              <w:top w:val="nil"/>
              <w:left w:val="nil"/>
              <w:bottom w:val="single" w:sz="4" w:space="0" w:color="0093D0"/>
              <w:right w:val="nil"/>
            </w:tcBorders>
            <w:shd w:val="clear" w:color="auto" w:fill="auto"/>
            <w:noWrap/>
            <w:vAlign w:val="center"/>
            <w:hideMark/>
          </w:tcPr>
          <w:p w:rsidR="001A01D2" w:rsidRDefault="001A01D2" w:rsidP="001A01D2">
            <w:pPr>
              <w:spacing w:after="0" w:line="240" w:lineRule="auto"/>
              <w:jc w:val="center"/>
              <w:rPr>
                <w:b/>
                <w:bCs/>
                <w:color w:val="000000"/>
                <w:sz w:val="16"/>
                <w:szCs w:val="16"/>
              </w:rPr>
            </w:pPr>
            <w:r>
              <w:rPr>
                <w:b/>
                <w:bCs/>
                <w:color w:val="000000"/>
                <w:sz w:val="16"/>
                <w:szCs w:val="16"/>
              </w:rPr>
              <w:t>421</w:t>
            </w:r>
          </w:p>
        </w:tc>
        <w:tc>
          <w:tcPr>
            <w:tcW w:w="745" w:type="dxa"/>
            <w:tcBorders>
              <w:top w:val="nil"/>
              <w:left w:val="nil"/>
              <w:bottom w:val="single" w:sz="4" w:space="0" w:color="0093D0"/>
              <w:right w:val="nil"/>
            </w:tcBorders>
            <w:shd w:val="clear" w:color="auto" w:fill="auto"/>
            <w:noWrap/>
            <w:vAlign w:val="center"/>
            <w:hideMark/>
          </w:tcPr>
          <w:p w:rsidR="001A01D2" w:rsidRDefault="001A01D2" w:rsidP="001A01D2">
            <w:pPr>
              <w:spacing w:after="0" w:line="240" w:lineRule="auto"/>
              <w:jc w:val="center"/>
              <w:rPr>
                <w:b/>
                <w:bCs/>
                <w:color w:val="000000"/>
                <w:sz w:val="16"/>
                <w:szCs w:val="16"/>
              </w:rPr>
            </w:pPr>
            <w:r>
              <w:rPr>
                <w:b/>
                <w:bCs/>
                <w:color w:val="000000"/>
                <w:sz w:val="16"/>
                <w:szCs w:val="16"/>
              </w:rPr>
              <w:t>440</w:t>
            </w:r>
          </w:p>
        </w:tc>
        <w:tc>
          <w:tcPr>
            <w:tcW w:w="745" w:type="dxa"/>
            <w:tcBorders>
              <w:top w:val="nil"/>
              <w:left w:val="nil"/>
              <w:bottom w:val="single" w:sz="4" w:space="0" w:color="0093D0"/>
              <w:right w:val="nil"/>
            </w:tcBorders>
            <w:shd w:val="clear" w:color="auto" w:fill="auto"/>
            <w:noWrap/>
            <w:vAlign w:val="center"/>
            <w:hideMark/>
          </w:tcPr>
          <w:p w:rsidR="001A01D2" w:rsidRDefault="001A01D2" w:rsidP="001A01D2">
            <w:pPr>
              <w:spacing w:after="0" w:line="240" w:lineRule="auto"/>
              <w:jc w:val="center"/>
              <w:rPr>
                <w:b/>
                <w:bCs/>
                <w:color w:val="000000"/>
                <w:sz w:val="16"/>
                <w:szCs w:val="16"/>
              </w:rPr>
            </w:pPr>
            <w:r>
              <w:rPr>
                <w:b/>
                <w:bCs/>
                <w:color w:val="000000"/>
                <w:sz w:val="16"/>
                <w:szCs w:val="16"/>
              </w:rPr>
              <w:t>450</w:t>
            </w:r>
          </w:p>
        </w:tc>
        <w:tc>
          <w:tcPr>
            <w:tcW w:w="746" w:type="dxa"/>
            <w:tcBorders>
              <w:top w:val="nil"/>
              <w:left w:val="nil"/>
              <w:bottom w:val="single" w:sz="4" w:space="0" w:color="0093D0"/>
              <w:right w:val="nil"/>
            </w:tcBorders>
            <w:shd w:val="clear" w:color="auto" w:fill="auto"/>
            <w:noWrap/>
            <w:vAlign w:val="center"/>
            <w:hideMark/>
          </w:tcPr>
          <w:p w:rsidR="001A01D2" w:rsidRDefault="001A01D2" w:rsidP="001A01D2">
            <w:pPr>
              <w:spacing w:after="0" w:line="240" w:lineRule="auto"/>
              <w:jc w:val="center"/>
              <w:rPr>
                <w:b/>
                <w:bCs/>
                <w:color w:val="000000"/>
                <w:sz w:val="16"/>
                <w:szCs w:val="16"/>
              </w:rPr>
            </w:pPr>
            <w:r>
              <w:rPr>
                <w:b/>
                <w:bCs/>
                <w:color w:val="000000"/>
                <w:sz w:val="16"/>
                <w:szCs w:val="16"/>
              </w:rPr>
              <w:t>440</w:t>
            </w:r>
          </w:p>
        </w:tc>
        <w:tc>
          <w:tcPr>
            <w:tcW w:w="746" w:type="dxa"/>
            <w:tcBorders>
              <w:top w:val="nil"/>
              <w:left w:val="nil"/>
              <w:bottom w:val="single" w:sz="4" w:space="0" w:color="0093D0"/>
              <w:right w:val="nil"/>
            </w:tcBorders>
            <w:shd w:val="clear" w:color="auto" w:fill="auto"/>
            <w:noWrap/>
            <w:vAlign w:val="center"/>
            <w:hideMark/>
          </w:tcPr>
          <w:p w:rsidR="001A01D2" w:rsidRDefault="001A01D2" w:rsidP="001A01D2">
            <w:pPr>
              <w:spacing w:after="0" w:line="240" w:lineRule="auto"/>
              <w:jc w:val="center"/>
              <w:rPr>
                <w:b/>
                <w:bCs/>
                <w:color w:val="000000"/>
                <w:sz w:val="16"/>
                <w:szCs w:val="16"/>
              </w:rPr>
            </w:pPr>
            <w:r>
              <w:rPr>
                <w:b/>
                <w:bCs/>
                <w:color w:val="000000"/>
                <w:sz w:val="16"/>
                <w:szCs w:val="16"/>
              </w:rPr>
              <w:t>442</w:t>
            </w:r>
          </w:p>
        </w:tc>
        <w:tc>
          <w:tcPr>
            <w:tcW w:w="752" w:type="dxa"/>
            <w:tcBorders>
              <w:top w:val="nil"/>
              <w:left w:val="nil"/>
              <w:bottom w:val="single" w:sz="4" w:space="0" w:color="0093D0"/>
              <w:right w:val="nil"/>
            </w:tcBorders>
            <w:shd w:val="clear" w:color="auto" w:fill="auto"/>
            <w:noWrap/>
            <w:vAlign w:val="center"/>
            <w:hideMark/>
          </w:tcPr>
          <w:p w:rsidR="001A01D2" w:rsidRDefault="001A01D2" w:rsidP="001A01D2">
            <w:pPr>
              <w:spacing w:after="0" w:line="240" w:lineRule="auto"/>
              <w:jc w:val="center"/>
              <w:rPr>
                <w:b/>
                <w:bCs/>
                <w:color w:val="000000"/>
                <w:sz w:val="16"/>
                <w:szCs w:val="16"/>
              </w:rPr>
            </w:pPr>
            <w:r>
              <w:rPr>
                <w:b/>
                <w:bCs/>
                <w:color w:val="000000"/>
                <w:sz w:val="16"/>
                <w:szCs w:val="16"/>
              </w:rPr>
              <w:t>440</w:t>
            </w:r>
          </w:p>
        </w:tc>
        <w:tc>
          <w:tcPr>
            <w:tcW w:w="850" w:type="dxa"/>
            <w:tcBorders>
              <w:top w:val="nil"/>
              <w:left w:val="nil"/>
              <w:bottom w:val="single" w:sz="4" w:space="0" w:color="0093D0"/>
              <w:right w:val="nil"/>
            </w:tcBorders>
            <w:shd w:val="clear" w:color="auto" w:fill="auto"/>
            <w:noWrap/>
            <w:vAlign w:val="center"/>
            <w:hideMark/>
          </w:tcPr>
          <w:p w:rsidR="001A01D2" w:rsidRDefault="001A01D2" w:rsidP="001A01D2">
            <w:pPr>
              <w:spacing w:after="0" w:line="240" w:lineRule="auto"/>
              <w:jc w:val="center"/>
              <w:rPr>
                <w:b/>
                <w:bCs/>
                <w:color w:val="000000"/>
                <w:sz w:val="16"/>
                <w:szCs w:val="16"/>
              </w:rPr>
            </w:pPr>
            <w:r>
              <w:rPr>
                <w:b/>
                <w:bCs/>
                <w:color w:val="000000"/>
                <w:sz w:val="16"/>
                <w:szCs w:val="16"/>
              </w:rPr>
              <w:t>1,669</w:t>
            </w:r>
          </w:p>
        </w:tc>
        <w:tc>
          <w:tcPr>
            <w:tcW w:w="850" w:type="dxa"/>
            <w:tcBorders>
              <w:top w:val="nil"/>
              <w:left w:val="nil"/>
              <w:bottom w:val="single" w:sz="4" w:space="0" w:color="0093D0"/>
              <w:right w:val="nil"/>
            </w:tcBorders>
            <w:shd w:val="clear" w:color="auto" w:fill="auto"/>
            <w:noWrap/>
            <w:vAlign w:val="center"/>
            <w:hideMark/>
          </w:tcPr>
          <w:p w:rsidR="001A01D2" w:rsidRDefault="001A01D2" w:rsidP="001A01D2">
            <w:pPr>
              <w:spacing w:after="0" w:line="240" w:lineRule="auto"/>
              <w:jc w:val="center"/>
              <w:rPr>
                <w:b/>
                <w:bCs/>
                <w:color w:val="000000"/>
                <w:sz w:val="16"/>
                <w:szCs w:val="16"/>
              </w:rPr>
            </w:pPr>
            <w:r>
              <w:rPr>
                <w:b/>
                <w:bCs/>
                <w:color w:val="000000"/>
                <w:sz w:val="16"/>
                <w:szCs w:val="16"/>
              </w:rPr>
              <w:t>5</w:t>
            </w:r>
          </w:p>
        </w:tc>
        <w:tc>
          <w:tcPr>
            <w:tcW w:w="982" w:type="dxa"/>
            <w:tcBorders>
              <w:top w:val="nil"/>
              <w:left w:val="nil"/>
              <w:bottom w:val="single" w:sz="4" w:space="0" w:color="0093D0"/>
              <w:right w:val="nil"/>
            </w:tcBorders>
            <w:vAlign w:val="center"/>
          </w:tcPr>
          <w:p w:rsidR="001A01D2" w:rsidRPr="001A01D2" w:rsidRDefault="001A01D2" w:rsidP="001A01D2">
            <w:pPr>
              <w:spacing w:after="0" w:line="240" w:lineRule="auto"/>
              <w:jc w:val="center"/>
              <w:rPr>
                <w:b/>
                <w:bCs/>
                <w:color w:val="000000"/>
                <w:sz w:val="16"/>
                <w:szCs w:val="16"/>
              </w:rPr>
            </w:pPr>
            <w:r w:rsidRPr="001A01D2">
              <w:rPr>
                <w:b/>
                <w:bCs/>
                <w:color w:val="000000"/>
                <w:sz w:val="16"/>
                <w:szCs w:val="16"/>
              </w:rPr>
              <w:t>440 – 500</w:t>
            </w:r>
          </w:p>
        </w:tc>
      </w:tr>
    </w:tbl>
    <w:p w:rsidR="00B144FF" w:rsidRDefault="00B144FF" w:rsidP="00B144FF"/>
    <w:p w:rsidR="00B144FF" w:rsidRDefault="00B144FF" w:rsidP="00B144FF">
      <w:pPr>
        <w:pStyle w:val="Caption"/>
      </w:pPr>
      <w:r>
        <w:t xml:space="preserve">Figure </w:t>
      </w:r>
      <w:r w:rsidR="00C23339">
        <w:fldChar w:fldCharType="begin"/>
      </w:r>
      <w:r w:rsidR="00134558">
        <w:instrText xml:space="preserve"> SEQ Figure \* ARABIC </w:instrText>
      </w:r>
      <w:r w:rsidR="00C23339">
        <w:fldChar w:fldCharType="separate"/>
      </w:r>
      <w:r w:rsidR="00E00DC7">
        <w:rPr>
          <w:noProof/>
        </w:rPr>
        <w:t>43</w:t>
      </w:r>
      <w:r w:rsidR="00C23339">
        <w:rPr>
          <w:noProof/>
        </w:rPr>
        <w:fldChar w:fldCharType="end"/>
      </w:r>
      <w:r>
        <w:t>: Entitlement market price range by volume</w:t>
      </w:r>
    </w:p>
    <w:p w:rsidR="00B144FF" w:rsidRPr="00D4349F" w:rsidRDefault="001A01D2" w:rsidP="00B144FF">
      <w:pPr>
        <w:pStyle w:val="MJAnormal"/>
      </w:pPr>
      <w:r>
        <w:rPr>
          <w:noProof/>
          <w:lang w:eastAsia="en-AU"/>
        </w:rPr>
        <w:drawing>
          <wp:inline distT="0" distB="0" distL="0" distR="0">
            <wp:extent cx="5760000" cy="207310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073101"/>
                    </a:xfrm>
                    <a:prstGeom prst="rect">
                      <a:avLst/>
                    </a:prstGeom>
                    <a:noFill/>
                  </pic:spPr>
                </pic:pic>
              </a:graphicData>
            </a:graphic>
          </wp:inline>
        </w:drawing>
      </w:r>
    </w:p>
    <w:p w:rsidR="00B144FF" w:rsidRPr="00B144FF" w:rsidRDefault="00B144FF" w:rsidP="00B144FF"/>
    <w:p w:rsidR="002D50B8" w:rsidRPr="00564276" w:rsidRDefault="002D50B8" w:rsidP="002D50B8">
      <w:pPr>
        <w:pStyle w:val="MJAsource"/>
        <w:rPr>
          <w:sz w:val="16"/>
        </w:rPr>
      </w:pPr>
      <w:r w:rsidRPr="00074B0E">
        <w:rPr>
          <w:b/>
          <w:sz w:val="16"/>
          <w:szCs w:val="16"/>
        </w:rPr>
        <w:t xml:space="preserve">Data Sources: </w:t>
      </w:r>
      <w:r w:rsidRPr="00074B0E">
        <w:rPr>
          <w:sz w:val="16"/>
          <w:szCs w:val="16"/>
        </w:rPr>
        <w:t>NSW</w:t>
      </w:r>
      <w:r w:rsidRPr="00564276">
        <w:rPr>
          <w:sz w:val="16"/>
        </w:rPr>
        <w:t xml:space="preserve"> Water Register (</w:t>
      </w:r>
      <w:hyperlink r:id="rId125" w:history="1">
        <w:r w:rsidRPr="00564276">
          <w:rPr>
            <w:rStyle w:val="Hyperlink"/>
            <w:color w:val="auto"/>
            <w:sz w:val="16"/>
          </w:rPr>
          <w:t>http://registers.water.nsw.gov.au/wma/WaterShareIntraWSLocSearch.jsp?selectedRegister=WaterShare</w:t>
        </w:r>
      </w:hyperlink>
      <w:r>
        <w:rPr>
          <w:rStyle w:val="Hyperlink"/>
          <w:color w:val="auto"/>
          <w:sz w:val="16"/>
        </w:rPr>
        <w:t xml:space="preserve">, </w:t>
      </w:r>
      <w:r w:rsidRPr="00564276">
        <w:rPr>
          <w:rStyle w:val="Hyperlink"/>
          <w:color w:val="auto"/>
          <w:sz w:val="16"/>
        </w:rPr>
        <w:t>http://www.water.nsw.gov.au/water-licensing/registers</w:t>
      </w:r>
      <w:r w:rsidRPr="00564276">
        <w:rPr>
          <w:sz w:val="16"/>
        </w:rPr>
        <w:t xml:space="preserve">), </w:t>
      </w:r>
      <w:proofErr w:type="spellStart"/>
      <w:r w:rsidRPr="00564276">
        <w:rPr>
          <w:sz w:val="16"/>
        </w:rPr>
        <w:t>Waterfind</w:t>
      </w:r>
      <w:proofErr w:type="spellEnd"/>
      <w:r w:rsidRPr="00564276">
        <w:rPr>
          <w:sz w:val="16"/>
        </w:rPr>
        <w:t xml:space="preserve"> (</w:t>
      </w:r>
      <w:hyperlink r:id="rId126" w:history="1">
        <w:r w:rsidR="000A37A8" w:rsidRPr="00631B5E">
          <w:rPr>
            <w:rStyle w:val="Hyperlink"/>
            <w:sz w:val="16"/>
          </w:rPr>
          <w:t>www.waterfind.com.au</w:t>
        </w:r>
      </w:hyperlink>
      <w:r w:rsidRPr="00564276">
        <w:rPr>
          <w:sz w:val="16"/>
        </w:rPr>
        <w:t>)</w:t>
      </w:r>
      <w:r w:rsidR="000A37A8">
        <w:rPr>
          <w:sz w:val="16"/>
        </w:rPr>
        <w:t xml:space="preserve"> </w:t>
      </w:r>
    </w:p>
    <w:p w:rsidR="008C0AFD" w:rsidRDefault="008C0AFD" w:rsidP="008C0AFD">
      <w:pPr>
        <w:pStyle w:val="MJAnormal"/>
        <w:rPr>
          <w:rStyle w:val="Hyperlink"/>
          <w:color w:val="auto"/>
          <w:u w:val="none"/>
        </w:rPr>
        <w:sectPr w:rsidR="008C0AFD" w:rsidSect="00EA394F">
          <w:headerReference w:type="default" r:id="rId127"/>
          <w:footerReference w:type="default" r:id="rId128"/>
          <w:pgSz w:w="11906" w:h="16838" w:code="9"/>
          <w:pgMar w:top="1701" w:right="1134" w:bottom="1021" w:left="1701" w:header="680" w:footer="113" w:gutter="0"/>
          <w:pgNumType w:start="1"/>
          <w:cols w:space="708"/>
          <w:docGrid w:linePitch="360"/>
        </w:sectPr>
      </w:pPr>
    </w:p>
    <w:p w:rsidR="00594D18" w:rsidRDefault="007D58D8" w:rsidP="00EE00DE">
      <w:pPr>
        <w:pStyle w:val="MJAheading2"/>
      </w:pPr>
      <w:bookmarkStart w:id="87" w:name="_Toc441834766"/>
      <w:r>
        <w:t>Queensland</w:t>
      </w:r>
      <w:bookmarkEnd w:id="87"/>
    </w:p>
    <w:p w:rsidR="00513A8F" w:rsidRDefault="00550190" w:rsidP="00513A8F">
      <w:pPr>
        <w:pStyle w:val="MJAnormal"/>
      </w:pPr>
      <w:r>
        <w:t xml:space="preserve">The markets in </w:t>
      </w:r>
      <w:r w:rsidR="00513A8F">
        <w:t xml:space="preserve">Queensland </w:t>
      </w:r>
      <w:r>
        <w:t>are very</w:t>
      </w:r>
      <w:r w:rsidR="00513A8F">
        <w:t xml:space="preserve"> thin</w:t>
      </w:r>
      <w:r>
        <w:t>,</w:t>
      </w:r>
      <w:r w:rsidR="00513A8F">
        <w:t xml:space="preserve"> </w:t>
      </w:r>
      <w:r>
        <w:t>with only limited trading of entitlements occurring</w:t>
      </w:r>
      <w:r w:rsidR="00513A8F">
        <w:t xml:space="preserve">. </w:t>
      </w:r>
    </w:p>
    <w:p w:rsidR="00513A8F" w:rsidRPr="00513A8F" w:rsidRDefault="00550190" w:rsidP="00513A8F">
      <w:pPr>
        <w:pStyle w:val="MJAnormal"/>
      </w:pPr>
      <w:r>
        <w:t xml:space="preserve">Queensland does not maintain a publicly available trade register. Information on entitlement trades is provided on an aggregated monthly basis. </w:t>
      </w:r>
    </w:p>
    <w:p w:rsidR="00594D18" w:rsidRDefault="00594D18" w:rsidP="00594D18">
      <w:pPr>
        <w:pStyle w:val="Caption"/>
      </w:pPr>
      <w:bookmarkStart w:id="88" w:name="_Toc426386591"/>
      <w:r>
        <w:t xml:space="preserve">Table </w:t>
      </w:r>
      <w:r w:rsidR="00C23339">
        <w:fldChar w:fldCharType="begin"/>
      </w:r>
      <w:r w:rsidR="00134558">
        <w:instrText xml:space="preserve"> SEQ Table \* ARABIC </w:instrText>
      </w:r>
      <w:r w:rsidR="00C23339">
        <w:fldChar w:fldCharType="separate"/>
      </w:r>
      <w:r w:rsidR="00E00DC7">
        <w:rPr>
          <w:noProof/>
        </w:rPr>
        <w:t>24</w:t>
      </w:r>
      <w:r w:rsidR="00C23339">
        <w:rPr>
          <w:noProof/>
        </w:rPr>
        <w:fldChar w:fldCharType="end"/>
      </w:r>
      <w:r>
        <w:t>: Entitlement market prices and volumes</w:t>
      </w:r>
      <w:bookmarkEnd w:id="88"/>
    </w:p>
    <w:tbl>
      <w:tblPr>
        <w:tblW w:w="5000" w:type="pct"/>
        <w:tblLook w:val="04A0"/>
      </w:tblPr>
      <w:tblGrid>
        <w:gridCol w:w="1590"/>
        <w:gridCol w:w="1840"/>
        <w:gridCol w:w="2238"/>
        <w:gridCol w:w="1484"/>
        <w:gridCol w:w="1484"/>
        <w:gridCol w:w="1484"/>
        <w:gridCol w:w="1484"/>
        <w:gridCol w:w="1481"/>
      </w:tblGrid>
      <w:tr w:rsidR="008C0AFD" w:rsidRPr="00F75DB0" w:rsidTr="00EA394F">
        <w:trPr>
          <w:trHeight w:val="672"/>
        </w:trPr>
        <w:tc>
          <w:tcPr>
            <w:tcW w:w="608" w:type="pct"/>
            <w:vMerge w:val="restart"/>
            <w:tcBorders>
              <w:top w:val="nil"/>
              <w:left w:val="nil"/>
              <w:bottom w:val="nil"/>
              <w:right w:val="nil"/>
            </w:tcBorders>
            <w:shd w:val="clear" w:color="000000" w:fill="0093D0"/>
            <w:vAlign w:val="center"/>
            <w:hideMark/>
          </w:tcPr>
          <w:p w:rsidR="007D58D8" w:rsidRPr="008C0AFD" w:rsidRDefault="007D58D8" w:rsidP="007D58D8">
            <w:pPr>
              <w:spacing w:after="0" w:line="240" w:lineRule="auto"/>
              <w:jc w:val="center"/>
              <w:rPr>
                <w:rFonts w:eastAsia="Times New Roman"/>
                <w:b/>
                <w:bCs/>
                <w:color w:val="FFFFFF"/>
                <w:sz w:val="20"/>
                <w:szCs w:val="20"/>
                <w:lang w:eastAsia="en-AU"/>
              </w:rPr>
            </w:pPr>
            <w:r w:rsidRPr="008C0AFD">
              <w:rPr>
                <w:rFonts w:eastAsia="Times New Roman"/>
                <w:b/>
                <w:bCs/>
                <w:color w:val="FFFFFF"/>
                <w:sz w:val="20"/>
                <w:szCs w:val="20"/>
                <w:lang w:eastAsia="en-AU"/>
              </w:rPr>
              <w:t>Resource Operation Plan</w:t>
            </w:r>
          </w:p>
        </w:tc>
        <w:tc>
          <w:tcPr>
            <w:tcW w:w="703" w:type="pct"/>
            <w:vMerge w:val="restart"/>
            <w:tcBorders>
              <w:top w:val="nil"/>
              <w:left w:val="nil"/>
              <w:bottom w:val="nil"/>
              <w:right w:val="nil"/>
            </w:tcBorders>
            <w:shd w:val="clear" w:color="000000" w:fill="0093D0"/>
            <w:vAlign w:val="center"/>
            <w:hideMark/>
          </w:tcPr>
          <w:p w:rsidR="007D58D8" w:rsidRPr="008C0AFD" w:rsidRDefault="007D58D8" w:rsidP="007D58D8">
            <w:pPr>
              <w:spacing w:after="0" w:line="240" w:lineRule="auto"/>
              <w:jc w:val="center"/>
              <w:rPr>
                <w:rFonts w:eastAsia="Times New Roman"/>
                <w:b/>
                <w:bCs/>
                <w:color w:val="FFFFFF"/>
                <w:sz w:val="20"/>
                <w:szCs w:val="20"/>
                <w:lang w:eastAsia="en-AU"/>
              </w:rPr>
            </w:pPr>
            <w:r w:rsidRPr="008C0AFD">
              <w:rPr>
                <w:rFonts w:eastAsia="Times New Roman"/>
                <w:b/>
                <w:bCs/>
                <w:color w:val="FFFFFF"/>
                <w:sz w:val="20"/>
                <w:szCs w:val="20"/>
                <w:lang w:eastAsia="en-AU"/>
              </w:rPr>
              <w:t>Water Supply Scheme / Water Management Area</w:t>
            </w:r>
          </w:p>
        </w:tc>
        <w:tc>
          <w:tcPr>
            <w:tcW w:w="855" w:type="pct"/>
            <w:vMerge w:val="restart"/>
            <w:tcBorders>
              <w:top w:val="nil"/>
              <w:left w:val="nil"/>
              <w:bottom w:val="nil"/>
              <w:right w:val="nil"/>
            </w:tcBorders>
            <w:shd w:val="clear" w:color="000000" w:fill="0093D0"/>
            <w:vAlign w:val="center"/>
            <w:hideMark/>
          </w:tcPr>
          <w:p w:rsidR="007D58D8" w:rsidRPr="008C0AFD" w:rsidRDefault="007D58D8" w:rsidP="008C0AFD">
            <w:pPr>
              <w:spacing w:after="0" w:line="240" w:lineRule="auto"/>
              <w:jc w:val="center"/>
              <w:rPr>
                <w:rFonts w:eastAsia="Times New Roman"/>
                <w:b/>
                <w:bCs/>
                <w:color w:val="FFFFFF"/>
                <w:sz w:val="20"/>
                <w:szCs w:val="20"/>
                <w:lang w:eastAsia="en-AU"/>
              </w:rPr>
            </w:pPr>
            <w:r w:rsidRPr="008C0AFD">
              <w:rPr>
                <w:rFonts w:eastAsia="Times New Roman"/>
                <w:b/>
                <w:bCs/>
                <w:color w:val="FFFFFF"/>
                <w:sz w:val="20"/>
                <w:szCs w:val="20"/>
                <w:lang w:eastAsia="en-AU"/>
              </w:rPr>
              <w:t>Type of Entitlement</w:t>
            </w:r>
          </w:p>
        </w:tc>
        <w:tc>
          <w:tcPr>
            <w:tcW w:w="1701" w:type="pct"/>
            <w:gridSpan w:val="3"/>
            <w:tcBorders>
              <w:top w:val="nil"/>
              <w:left w:val="nil"/>
              <w:bottom w:val="nil"/>
              <w:right w:val="nil"/>
            </w:tcBorders>
            <w:shd w:val="clear" w:color="000000" w:fill="0093D0"/>
            <w:noWrap/>
            <w:vAlign w:val="center"/>
            <w:hideMark/>
          </w:tcPr>
          <w:p w:rsidR="007D58D8" w:rsidRPr="008C0AFD" w:rsidRDefault="007D58D8" w:rsidP="007D58D8">
            <w:pPr>
              <w:spacing w:after="0" w:line="240" w:lineRule="auto"/>
              <w:jc w:val="center"/>
              <w:rPr>
                <w:rFonts w:eastAsia="Times New Roman"/>
                <w:b/>
                <w:bCs/>
                <w:color w:val="FFFFFF"/>
                <w:sz w:val="20"/>
                <w:szCs w:val="20"/>
                <w:lang w:eastAsia="en-AU"/>
              </w:rPr>
            </w:pPr>
            <w:r w:rsidRPr="008C0AFD">
              <w:rPr>
                <w:rFonts w:eastAsia="Times New Roman"/>
                <w:b/>
                <w:bCs/>
                <w:color w:val="FFFFFF"/>
                <w:sz w:val="20"/>
                <w:szCs w:val="20"/>
                <w:lang w:eastAsia="en-AU"/>
              </w:rPr>
              <w:t>Volume weighted average price ($/ML)</w:t>
            </w:r>
          </w:p>
        </w:tc>
        <w:tc>
          <w:tcPr>
            <w:tcW w:w="567" w:type="pct"/>
            <w:vMerge w:val="restart"/>
            <w:tcBorders>
              <w:top w:val="nil"/>
              <w:left w:val="nil"/>
              <w:bottom w:val="nil"/>
              <w:right w:val="nil"/>
            </w:tcBorders>
            <w:shd w:val="clear" w:color="000000" w:fill="0093D0"/>
            <w:vAlign w:val="center"/>
            <w:hideMark/>
          </w:tcPr>
          <w:p w:rsidR="007D58D8" w:rsidRPr="008C0AFD" w:rsidRDefault="004F1321" w:rsidP="007D58D8">
            <w:pPr>
              <w:spacing w:after="0" w:line="240" w:lineRule="auto"/>
              <w:jc w:val="center"/>
              <w:rPr>
                <w:rFonts w:eastAsia="Times New Roman"/>
                <w:b/>
                <w:bCs/>
                <w:color w:val="FFFFFF"/>
                <w:sz w:val="20"/>
                <w:szCs w:val="20"/>
                <w:lang w:eastAsia="en-AU"/>
              </w:rPr>
            </w:pPr>
            <w:r>
              <w:rPr>
                <w:rFonts w:eastAsia="Times New Roman"/>
                <w:b/>
                <w:bCs/>
                <w:color w:val="FFFFFF"/>
                <w:sz w:val="20"/>
                <w:szCs w:val="20"/>
                <w:lang w:eastAsia="en-AU"/>
              </w:rPr>
              <w:t>Dec</w:t>
            </w:r>
            <w:r w:rsidR="007D58D8" w:rsidRPr="008C0AFD">
              <w:rPr>
                <w:rFonts w:eastAsia="Times New Roman"/>
                <w:b/>
                <w:bCs/>
                <w:color w:val="FFFFFF"/>
                <w:sz w:val="20"/>
                <w:szCs w:val="20"/>
                <w:lang w:eastAsia="en-AU"/>
              </w:rPr>
              <w:t xml:space="preserve"> 2015 Quarter Volume</w:t>
            </w:r>
            <w:r w:rsidR="00F0649C" w:rsidRPr="008C0AFD">
              <w:rPr>
                <w:rFonts w:eastAsia="Times New Roman"/>
                <w:b/>
                <w:bCs/>
                <w:color w:val="FFFFFF"/>
                <w:sz w:val="20"/>
                <w:szCs w:val="20"/>
                <w:lang w:eastAsia="en-AU"/>
              </w:rPr>
              <w:t xml:space="preserve"> (ML)</w:t>
            </w:r>
          </w:p>
        </w:tc>
        <w:tc>
          <w:tcPr>
            <w:tcW w:w="566" w:type="pct"/>
            <w:vMerge w:val="restart"/>
            <w:tcBorders>
              <w:top w:val="nil"/>
              <w:left w:val="nil"/>
              <w:bottom w:val="nil"/>
              <w:right w:val="nil"/>
            </w:tcBorders>
            <w:shd w:val="clear" w:color="000000" w:fill="0093D0"/>
            <w:vAlign w:val="center"/>
            <w:hideMark/>
          </w:tcPr>
          <w:p w:rsidR="007D58D8" w:rsidRPr="008C0AFD" w:rsidRDefault="004F1321" w:rsidP="007D58D8">
            <w:pPr>
              <w:spacing w:after="0" w:line="240" w:lineRule="auto"/>
              <w:jc w:val="center"/>
              <w:rPr>
                <w:rFonts w:eastAsia="Times New Roman"/>
                <w:b/>
                <w:bCs/>
                <w:color w:val="FFFFFF"/>
                <w:sz w:val="20"/>
                <w:szCs w:val="20"/>
                <w:lang w:eastAsia="en-AU"/>
              </w:rPr>
            </w:pPr>
            <w:r>
              <w:rPr>
                <w:rFonts w:eastAsia="Times New Roman"/>
                <w:b/>
                <w:bCs/>
                <w:color w:val="FFFFFF"/>
                <w:sz w:val="20"/>
                <w:szCs w:val="20"/>
                <w:lang w:eastAsia="en-AU"/>
              </w:rPr>
              <w:t>Dec</w:t>
            </w:r>
            <w:r w:rsidR="007D58D8" w:rsidRPr="008C0AFD">
              <w:rPr>
                <w:rFonts w:eastAsia="Times New Roman"/>
                <w:b/>
                <w:bCs/>
                <w:color w:val="FFFFFF"/>
                <w:sz w:val="20"/>
                <w:szCs w:val="20"/>
                <w:lang w:eastAsia="en-AU"/>
              </w:rPr>
              <w:t xml:space="preserve"> 2015 Quarter </w:t>
            </w:r>
            <w:r w:rsidR="00F0649C" w:rsidRPr="008C0AFD">
              <w:rPr>
                <w:rFonts w:eastAsia="Times New Roman"/>
                <w:b/>
                <w:bCs/>
                <w:color w:val="FFFFFF"/>
                <w:sz w:val="20"/>
                <w:szCs w:val="20"/>
                <w:lang w:eastAsia="en-AU"/>
              </w:rPr>
              <w:br/>
            </w:r>
            <w:r w:rsidR="007D58D8" w:rsidRPr="008C0AFD">
              <w:rPr>
                <w:rFonts w:eastAsia="Times New Roman"/>
                <w:b/>
                <w:bCs/>
                <w:color w:val="FFFFFF"/>
                <w:sz w:val="20"/>
                <w:szCs w:val="20"/>
                <w:lang w:eastAsia="en-AU"/>
              </w:rPr>
              <w:t># of trades</w:t>
            </w:r>
          </w:p>
        </w:tc>
      </w:tr>
      <w:tr w:rsidR="008C0AFD" w:rsidRPr="00F75DB0" w:rsidTr="00EA394F">
        <w:trPr>
          <w:trHeight w:val="552"/>
        </w:trPr>
        <w:tc>
          <w:tcPr>
            <w:tcW w:w="608" w:type="pct"/>
            <w:vMerge/>
            <w:tcBorders>
              <w:top w:val="nil"/>
              <w:left w:val="nil"/>
              <w:bottom w:val="nil"/>
              <w:right w:val="nil"/>
            </w:tcBorders>
            <w:vAlign w:val="center"/>
            <w:hideMark/>
          </w:tcPr>
          <w:p w:rsidR="007D58D8" w:rsidRPr="008C0AFD" w:rsidRDefault="007D58D8" w:rsidP="007D58D8">
            <w:pPr>
              <w:spacing w:after="0" w:line="240" w:lineRule="auto"/>
              <w:rPr>
                <w:rFonts w:eastAsia="Times New Roman"/>
                <w:b/>
                <w:bCs/>
                <w:color w:val="FFFFFF"/>
                <w:sz w:val="20"/>
                <w:szCs w:val="20"/>
                <w:lang w:eastAsia="en-AU"/>
              </w:rPr>
            </w:pPr>
          </w:p>
        </w:tc>
        <w:tc>
          <w:tcPr>
            <w:tcW w:w="703" w:type="pct"/>
            <w:vMerge/>
            <w:tcBorders>
              <w:top w:val="nil"/>
              <w:left w:val="nil"/>
              <w:bottom w:val="nil"/>
              <w:right w:val="nil"/>
            </w:tcBorders>
            <w:vAlign w:val="center"/>
            <w:hideMark/>
          </w:tcPr>
          <w:p w:rsidR="007D58D8" w:rsidRPr="008C0AFD" w:rsidRDefault="007D58D8" w:rsidP="007D58D8">
            <w:pPr>
              <w:spacing w:after="0" w:line="240" w:lineRule="auto"/>
              <w:rPr>
                <w:rFonts w:eastAsia="Times New Roman"/>
                <w:b/>
                <w:bCs/>
                <w:color w:val="FFFFFF"/>
                <w:sz w:val="20"/>
                <w:szCs w:val="20"/>
                <w:lang w:eastAsia="en-AU"/>
              </w:rPr>
            </w:pPr>
          </w:p>
        </w:tc>
        <w:tc>
          <w:tcPr>
            <w:tcW w:w="855" w:type="pct"/>
            <w:vMerge/>
            <w:tcBorders>
              <w:top w:val="nil"/>
              <w:left w:val="nil"/>
              <w:bottom w:val="nil"/>
              <w:right w:val="nil"/>
            </w:tcBorders>
            <w:vAlign w:val="center"/>
            <w:hideMark/>
          </w:tcPr>
          <w:p w:rsidR="007D58D8" w:rsidRPr="008C0AFD" w:rsidRDefault="007D58D8" w:rsidP="008C0AFD">
            <w:pPr>
              <w:spacing w:after="0" w:line="240" w:lineRule="auto"/>
              <w:jc w:val="center"/>
              <w:rPr>
                <w:rFonts w:eastAsia="Times New Roman"/>
                <w:b/>
                <w:bCs/>
                <w:color w:val="FFFFFF"/>
                <w:sz w:val="20"/>
                <w:szCs w:val="20"/>
                <w:lang w:eastAsia="en-AU"/>
              </w:rPr>
            </w:pPr>
          </w:p>
        </w:tc>
        <w:tc>
          <w:tcPr>
            <w:tcW w:w="567" w:type="pct"/>
            <w:tcBorders>
              <w:top w:val="nil"/>
              <w:left w:val="nil"/>
              <w:bottom w:val="nil"/>
              <w:right w:val="nil"/>
            </w:tcBorders>
            <w:shd w:val="clear" w:color="000000" w:fill="0093D0"/>
            <w:vAlign w:val="center"/>
            <w:hideMark/>
          </w:tcPr>
          <w:p w:rsidR="007D58D8" w:rsidRPr="008C0AFD" w:rsidRDefault="007D58D8" w:rsidP="007D58D8">
            <w:pPr>
              <w:spacing w:after="0" w:line="240" w:lineRule="auto"/>
              <w:jc w:val="center"/>
              <w:rPr>
                <w:rFonts w:eastAsia="Times New Roman"/>
                <w:b/>
                <w:bCs/>
                <w:color w:val="FFFFFF"/>
                <w:sz w:val="20"/>
                <w:szCs w:val="20"/>
                <w:lang w:eastAsia="en-AU"/>
              </w:rPr>
            </w:pPr>
            <w:r w:rsidRPr="008C0AFD">
              <w:rPr>
                <w:rFonts w:eastAsia="Times New Roman"/>
                <w:b/>
                <w:bCs/>
                <w:color w:val="FFFFFF"/>
                <w:sz w:val="20"/>
                <w:szCs w:val="20"/>
                <w:lang w:eastAsia="en-AU"/>
              </w:rPr>
              <w:t xml:space="preserve">Month of </w:t>
            </w:r>
            <w:r w:rsidR="004F1321">
              <w:rPr>
                <w:rFonts w:eastAsia="Times New Roman"/>
                <w:b/>
                <w:bCs/>
                <w:color w:val="FFFFFF"/>
                <w:sz w:val="20"/>
                <w:szCs w:val="20"/>
                <w:lang w:eastAsia="en-AU"/>
              </w:rPr>
              <w:t>Dec</w:t>
            </w:r>
            <w:r w:rsidRPr="008C0AFD">
              <w:rPr>
                <w:rFonts w:eastAsia="Times New Roman"/>
                <w:b/>
                <w:bCs/>
                <w:color w:val="FFFFFF"/>
                <w:sz w:val="20"/>
                <w:szCs w:val="20"/>
                <w:lang w:eastAsia="en-AU"/>
              </w:rPr>
              <w:t xml:space="preserve"> 2015</w:t>
            </w:r>
          </w:p>
        </w:tc>
        <w:tc>
          <w:tcPr>
            <w:tcW w:w="567" w:type="pct"/>
            <w:tcBorders>
              <w:top w:val="nil"/>
              <w:left w:val="nil"/>
              <w:bottom w:val="nil"/>
              <w:right w:val="nil"/>
            </w:tcBorders>
            <w:shd w:val="clear" w:color="000000" w:fill="0093D0"/>
            <w:vAlign w:val="center"/>
            <w:hideMark/>
          </w:tcPr>
          <w:p w:rsidR="007D58D8" w:rsidRPr="008C0AFD" w:rsidRDefault="004F1321" w:rsidP="007D58D8">
            <w:pPr>
              <w:spacing w:after="0" w:line="240" w:lineRule="auto"/>
              <w:jc w:val="center"/>
              <w:rPr>
                <w:rFonts w:eastAsia="Times New Roman"/>
                <w:b/>
                <w:bCs/>
                <w:color w:val="FFFFFF"/>
                <w:sz w:val="20"/>
                <w:szCs w:val="20"/>
                <w:lang w:eastAsia="en-AU"/>
              </w:rPr>
            </w:pPr>
            <w:r>
              <w:rPr>
                <w:rFonts w:eastAsia="Times New Roman"/>
                <w:b/>
                <w:bCs/>
                <w:color w:val="FFFFFF"/>
                <w:sz w:val="20"/>
                <w:szCs w:val="20"/>
                <w:lang w:eastAsia="en-AU"/>
              </w:rPr>
              <w:t>Dec</w:t>
            </w:r>
            <w:r w:rsidR="007D58D8" w:rsidRPr="008C0AFD">
              <w:rPr>
                <w:rFonts w:eastAsia="Times New Roman"/>
                <w:b/>
                <w:bCs/>
                <w:color w:val="FFFFFF"/>
                <w:sz w:val="20"/>
                <w:szCs w:val="20"/>
                <w:lang w:eastAsia="en-AU"/>
              </w:rPr>
              <w:t xml:space="preserve"> 2015 Quarter</w:t>
            </w:r>
          </w:p>
        </w:tc>
        <w:tc>
          <w:tcPr>
            <w:tcW w:w="567" w:type="pct"/>
            <w:tcBorders>
              <w:top w:val="nil"/>
              <w:left w:val="nil"/>
              <w:bottom w:val="nil"/>
              <w:right w:val="nil"/>
            </w:tcBorders>
            <w:shd w:val="clear" w:color="000000" w:fill="0093D0"/>
            <w:vAlign w:val="center"/>
            <w:hideMark/>
          </w:tcPr>
          <w:p w:rsidR="007D58D8" w:rsidRPr="008C0AFD" w:rsidRDefault="007D58D8" w:rsidP="007D58D8">
            <w:pPr>
              <w:spacing w:after="0" w:line="240" w:lineRule="auto"/>
              <w:jc w:val="center"/>
              <w:rPr>
                <w:rFonts w:eastAsia="Times New Roman"/>
                <w:b/>
                <w:bCs/>
                <w:color w:val="FFFFFF"/>
                <w:sz w:val="20"/>
                <w:szCs w:val="20"/>
                <w:lang w:eastAsia="en-AU"/>
              </w:rPr>
            </w:pPr>
            <w:r w:rsidRPr="008C0AFD">
              <w:rPr>
                <w:rFonts w:eastAsia="Times New Roman"/>
                <w:b/>
                <w:bCs/>
                <w:color w:val="FFFFFF"/>
                <w:sz w:val="20"/>
                <w:szCs w:val="20"/>
                <w:lang w:eastAsia="en-AU"/>
              </w:rPr>
              <w:t>YTD $/ML</w:t>
            </w:r>
          </w:p>
        </w:tc>
        <w:tc>
          <w:tcPr>
            <w:tcW w:w="567" w:type="pct"/>
            <w:vMerge/>
            <w:tcBorders>
              <w:top w:val="nil"/>
              <w:left w:val="nil"/>
              <w:bottom w:val="single" w:sz="4" w:space="0" w:color="0093D0"/>
              <w:right w:val="nil"/>
            </w:tcBorders>
            <w:vAlign w:val="center"/>
            <w:hideMark/>
          </w:tcPr>
          <w:p w:rsidR="007D58D8" w:rsidRPr="008C0AFD" w:rsidRDefault="007D58D8" w:rsidP="007D58D8">
            <w:pPr>
              <w:spacing w:after="0" w:line="240" w:lineRule="auto"/>
              <w:rPr>
                <w:rFonts w:eastAsia="Times New Roman"/>
                <w:b/>
                <w:bCs/>
                <w:color w:val="FFFFFF"/>
                <w:sz w:val="20"/>
                <w:szCs w:val="20"/>
                <w:lang w:eastAsia="en-AU"/>
              </w:rPr>
            </w:pPr>
          </w:p>
        </w:tc>
        <w:tc>
          <w:tcPr>
            <w:tcW w:w="566" w:type="pct"/>
            <w:vMerge/>
            <w:tcBorders>
              <w:top w:val="nil"/>
              <w:left w:val="nil"/>
              <w:bottom w:val="nil"/>
              <w:right w:val="nil"/>
            </w:tcBorders>
            <w:vAlign w:val="center"/>
            <w:hideMark/>
          </w:tcPr>
          <w:p w:rsidR="007D58D8" w:rsidRPr="008C0AFD" w:rsidRDefault="007D58D8" w:rsidP="007D58D8">
            <w:pPr>
              <w:spacing w:after="0" w:line="240" w:lineRule="auto"/>
              <w:rPr>
                <w:rFonts w:eastAsia="Times New Roman"/>
                <w:b/>
                <w:bCs/>
                <w:color w:val="FFFFFF"/>
                <w:sz w:val="20"/>
                <w:szCs w:val="20"/>
                <w:lang w:eastAsia="en-AU"/>
              </w:rPr>
            </w:pPr>
          </w:p>
        </w:tc>
      </w:tr>
      <w:tr w:rsidR="006E5F89" w:rsidRPr="00F75DB0" w:rsidTr="00EA394F">
        <w:trPr>
          <w:trHeight w:val="567"/>
        </w:trPr>
        <w:tc>
          <w:tcPr>
            <w:tcW w:w="608" w:type="pct"/>
            <w:tcBorders>
              <w:top w:val="single" w:sz="4" w:space="0" w:color="0093D0"/>
              <w:left w:val="nil"/>
              <w:bottom w:val="single" w:sz="4" w:space="0" w:color="0093D0"/>
              <w:right w:val="nil"/>
            </w:tcBorders>
            <w:shd w:val="clear" w:color="auto" w:fill="auto"/>
            <w:vAlign w:val="center"/>
            <w:hideMark/>
          </w:tcPr>
          <w:p w:rsidR="006E5F89" w:rsidRPr="00FF7682" w:rsidRDefault="006E5F89" w:rsidP="006E5F89">
            <w:pPr>
              <w:spacing w:after="0" w:line="240" w:lineRule="auto"/>
              <w:rPr>
                <w:rFonts w:eastAsia="Times New Roman"/>
                <w:b/>
                <w:bCs/>
                <w:color w:val="000000"/>
                <w:sz w:val="18"/>
                <w:szCs w:val="18"/>
                <w:lang w:eastAsia="en-AU"/>
              </w:rPr>
            </w:pPr>
            <w:r w:rsidRPr="00FF7682">
              <w:rPr>
                <w:rFonts w:eastAsia="Times New Roman"/>
                <w:b/>
                <w:bCs/>
                <w:color w:val="000000"/>
                <w:sz w:val="18"/>
                <w:szCs w:val="18"/>
                <w:lang w:eastAsia="en-AU"/>
              </w:rPr>
              <w:t>QLD Border Rivers</w:t>
            </w:r>
          </w:p>
        </w:tc>
        <w:tc>
          <w:tcPr>
            <w:tcW w:w="703" w:type="pct"/>
            <w:tcBorders>
              <w:top w:val="single" w:sz="4" w:space="0" w:color="0093D0"/>
              <w:left w:val="nil"/>
              <w:bottom w:val="single" w:sz="4" w:space="0" w:color="0093D0"/>
              <w:right w:val="nil"/>
            </w:tcBorders>
            <w:shd w:val="clear" w:color="auto" w:fill="auto"/>
            <w:vAlign w:val="center"/>
            <w:hideMark/>
          </w:tcPr>
          <w:p w:rsidR="006E5F89" w:rsidRPr="00FF7682" w:rsidRDefault="006E5F89" w:rsidP="006E5F89">
            <w:pPr>
              <w:spacing w:after="0" w:line="240" w:lineRule="auto"/>
              <w:rPr>
                <w:rFonts w:eastAsia="Times New Roman"/>
                <w:color w:val="000000"/>
                <w:sz w:val="18"/>
                <w:szCs w:val="18"/>
                <w:lang w:eastAsia="en-AU"/>
              </w:rPr>
            </w:pPr>
            <w:r w:rsidRPr="00FF7682">
              <w:rPr>
                <w:rFonts w:eastAsia="Times New Roman"/>
                <w:color w:val="000000"/>
                <w:sz w:val="18"/>
                <w:szCs w:val="18"/>
                <w:lang w:eastAsia="en-AU"/>
              </w:rPr>
              <w:t>Border Rivers/ Macintyre Brook</w:t>
            </w:r>
          </w:p>
        </w:tc>
        <w:tc>
          <w:tcPr>
            <w:tcW w:w="855" w:type="pct"/>
            <w:tcBorders>
              <w:top w:val="single" w:sz="4" w:space="0" w:color="0093D0"/>
              <w:left w:val="nil"/>
              <w:bottom w:val="single" w:sz="4" w:space="0" w:color="0093D0"/>
              <w:right w:val="nil"/>
            </w:tcBorders>
            <w:shd w:val="clear" w:color="auto" w:fill="auto"/>
            <w:vAlign w:val="center"/>
            <w:hideMark/>
          </w:tcPr>
          <w:p w:rsidR="006E5F89" w:rsidRPr="00FF7682" w:rsidRDefault="006E5F89" w:rsidP="006E5F89">
            <w:pPr>
              <w:spacing w:after="0" w:line="240" w:lineRule="auto"/>
              <w:jc w:val="center"/>
              <w:rPr>
                <w:rFonts w:eastAsia="Times New Roman"/>
                <w:color w:val="000000"/>
                <w:sz w:val="18"/>
                <w:szCs w:val="18"/>
                <w:lang w:eastAsia="en-AU"/>
              </w:rPr>
            </w:pPr>
            <w:r w:rsidRPr="00FF7682">
              <w:rPr>
                <w:rFonts w:eastAsia="Times New Roman"/>
                <w:color w:val="000000"/>
                <w:sz w:val="18"/>
                <w:szCs w:val="18"/>
                <w:lang w:eastAsia="en-AU"/>
              </w:rPr>
              <w:t>Supplemented</w:t>
            </w:r>
          </w:p>
        </w:tc>
        <w:tc>
          <w:tcPr>
            <w:tcW w:w="567" w:type="pct"/>
            <w:tcBorders>
              <w:top w:val="single" w:sz="4" w:space="0" w:color="0093D0"/>
              <w:left w:val="nil"/>
              <w:bottom w:val="single" w:sz="4" w:space="0" w:color="0093D0"/>
              <w:right w:val="nil"/>
            </w:tcBorders>
            <w:shd w:val="clear" w:color="auto" w:fill="auto"/>
            <w:noWrap/>
            <w:vAlign w:val="center"/>
            <w:hideMark/>
          </w:tcPr>
          <w:p w:rsidR="006E5F89" w:rsidRPr="00FB380F" w:rsidRDefault="006E5F89" w:rsidP="006E5F89">
            <w:pPr>
              <w:spacing w:after="0" w:line="240" w:lineRule="auto"/>
              <w:jc w:val="center"/>
              <w:rPr>
                <w:rFonts w:asciiTheme="minorHAnsi" w:eastAsia="Times New Roman" w:hAnsiTheme="minorHAnsi"/>
                <w:b/>
                <w:color w:val="000000"/>
                <w:sz w:val="18"/>
                <w:szCs w:val="18"/>
                <w:lang w:eastAsia="en-AU"/>
              </w:rPr>
            </w:pPr>
            <w:r w:rsidRPr="00FB380F">
              <w:rPr>
                <w:rFonts w:asciiTheme="minorHAnsi" w:eastAsia="Times New Roman" w:hAnsiTheme="minorHAnsi"/>
                <w:b/>
                <w:color w:val="000000"/>
                <w:sz w:val="18"/>
                <w:szCs w:val="18"/>
                <w:lang w:eastAsia="en-AU"/>
              </w:rPr>
              <w:t>278</w:t>
            </w:r>
          </w:p>
        </w:tc>
        <w:tc>
          <w:tcPr>
            <w:tcW w:w="567" w:type="pct"/>
            <w:tcBorders>
              <w:top w:val="single" w:sz="4" w:space="0" w:color="0093D0"/>
              <w:left w:val="nil"/>
              <w:bottom w:val="single" w:sz="4" w:space="0" w:color="0093D0"/>
              <w:right w:val="nil"/>
            </w:tcBorders>
            <w:shd w:val="clear" w:color="auto" w:fill="auto"/>
            <w:noWrap/>
            <w:vAlign w:val="center"/>
            <w:hideMark/>
          </w:tcPr>
          <w:p w:rsidR="006E5F89" w:rsidRPr="00FB380F" w:rsidRDefault="006E5F89" w:rsidP="00FB380F">
            <w:pPr>
              <w:spacing w:after="0" w:line="240" w:lineRule="auto"/>
              <w:jc w:val="center"/>
              <w:rPr>
                <w:rFonts w:asciiTheme="minorHAnsi" w:eastAsia="Times New Roman" w:hAnsiTheme="minorHAnsi"/>
                <w:b/>
                <w:color w:val="000000"/>
                <w:sz w:val="18"/>
                <w:szCs w:val="18"/>
                <w:lang w:eastAsia="en-AU"/>
              </w:rPr>
            </w:pPr>
            <w:r w:rsidRPr="00FB380F">
              <w:rPr>
                <w:rFonts w:asciiTheme="minorHAnsi" w:eastAsia="Times New Roman" w:hAnsiTheme="minorHAnsi"/>
                <w:b/>
                <w:color w:val="000000"/>
                <w:sz w:val="18"/>
                <w:szCs w:val="18"/>
                <w:lang w:eastAsia="en-AU"/>
              </w:rPr>
              <w:t>281</w:t>
            </w:r>
          </w:p>
        </w:tc>
        <w:tc>
          <w:tcPr>
            <w:tcW w:w="567" w:type="pct"/>
            <w:tcBorders>
              <w:top w:val="single" w:sz="4" w:space="0" w:color="0093D0"/>
              <w:left w:val="nil"/>
              <w:bottom w:val="single" w:sz="4" w:space="0" w:color="0093D0"/>
              <w:right w:val="nil"/>
            </w:tcBorders>
            <w:shd w:val="clear" w:color="auto" w:fill="auto"/>
            <w:noWrap/>
            <w:vAlign w:val="center"/>
            <w:hideMark/>
          </w:tcPr>
          <w:p w:rsidR="006E5F89" w:rsidRPr="00FB380F" w:rsidRDefault="006E5F89" w:rsidP="00FB380F">
            <w:pPr>
              <w:spacing w:after="0" w:line="240" w:lineRule="auto"/>
              <w:jc w:val="center"/>
              <w:rPr>
                <w:rFonts w:asciiTheme="minorHAnsi" w:eastAsia="Times New Roman" w:hAnsiTheme="minorHAnsi"/>
                <w:b/>
                <w:color w:val="000000"/>
                <w:sz w:val="18"/>
                <w:szCs w:val="18"/>
                <w:lang w:eastAsia="en-AU"/>
              </w:rPr>
            </w:pPr>
            <w:r w:rsidRPr="00FB380F">
              <w:rPr>
                <w:rFonts w:asciiTheme="minorHAnsi" w:eastAsia="Times New Roman" w:hAnsiTheme="minorHAnsi"/>
                <w:b/>
                <w:color w:val="000000"/>
                <w:sz w:val="18"/>
                <w:szCs w:val="18"/>
                <w:lang w:eastAsia="en-AU"/>
              </w:rPr>
              <w:t>437</w:t>
            </w:r>
          </w:p>
        </w:tc>
        <w:tc>
          <w:tcPr>
            <w:tcW w:w="567" w:type="pct"/>
            <w:tcBorders>
              <w:top w:val="single" w:sz="4" w:space="0" w:color="0093D0"/>
              <w:left w:val="nil"/>
              <w:bottom w:val="single" w:sz="4" w:space="0" w:color="0093D0"/>
              <w:right w:val="nil"/>
            </w:tcBorders>
            <w:shd w:val="clear" w:color="auto" w:fill="auto"/>
            <w:noWrap/>
            <w:vAlign w:val="center"/>
            <w:hideMark/>
          </w:tcPr>
          <w:p w:rsidR="006E5F89" w:rsidRPr="00FB380F" w:rsidRDefault="006E5F89" w:rsidP="006E5F89">
            <w:pPr>
              <w:spacing w:after="0" w:line="240" w:lineRule="auto"/>
              <w:jc w:val="center"/>
              <w:rPr>
                <w:rFonts w:asciiTheme="minorHAnsi" w:eastAsia="Times New Roman" w:hAnsiTheme="minorHAnsi"/>
                <w:b/>
                <w:color w:val="000000"/>
                <w:sz w:val="18"/>
                <w:szCs w:val="18"/>
                <w:lang w:eastAsia="en-AU"/>
              </w:rPr>
            </w:pPr>
            <w:r w:rsidRPr="006E5F89">
              <w:rPr>
                <w:rFonts w:asciiTheme="minorHAnsi" w:eastAsia="Times New Roman" w:hAnsiTheme="minorHAnsi"/>
                <w:b/>
                <w:color w:val="000000"/>
                <w:sz w:val="18"/>
                <w:szCs w:val="18"/>
                <w:lang w:eastAsia="en-AU"/>
              </w:rPr>
              <w:t>4,721</w:t>
            </w:r>
          </w:p>
        </w:tc>
        <w:tc>
          <w:tcPr>
            <w:tcW w:w="566" w:type="pct"/>
            <w:tcBorders>
              <w:top w:val="single" w:sz="4" w:space="0" w:color="0093D0"/>
              <w:left w:val="nil"/>
              <w:bottom w:val="single" w:sz="4" w:space="0" w:color="0093D0"/>
              <w:right w:val="nil"/>
            </w:tcBorders>
            <w:shd w:val="clear" w:color="auto" w:fill="auto"/>
            <w:noWrap/>
            <w:vAlign w:val="center"/>
            <w:hideMark/>
          </w:tcPr>
          <w:p w:rsidR="006E5F89" w:rsidRPr="00FB380F" w:rsidRDefault="006E5F89" w:rsidP="006E5F89">
            <w:pPr>
              <w:spacing w:after="0" w:line="240" w:lineRule="auto"/>
              <w:jc w:val="center"/>
              <w:rPr>
                <w:rFonts w:asciiTheme="minorHAnsi" w:eastAsia="Times New Roman" w:hAnsiTheme="minorHAnsi"/>
                <w:b/>
                <w:color w:val="000000"/>
                <w:sz w:val="18"/>
                <w:szCs w:val="18"/>
                <w:lang w:eastAsia="en-AU"/>
              </w:rPr>
            </w:pPr>
            <w:r w:rsidRPr="00FB380F">
              <w:rPr>
                <w:rFonts w:asciiTheme="minorHAnsi" w:eastAsia="Times New Roman" w:hAnsiTheme="minorHAnsi"/>
                <w:b/>
                <w:color w:val="000000"/>
                <w:sz w:val="18"/>
                <w:szCs w:val="18"/>
                <w:lang w:eastAsia="en-AU"/>
              </w:rPr>
              <w:t>4</w:t>
            </w:r>
          </w:p>
        </w:tc>
      </w:tr>
      <w:tr w:rsidR="006E5F89" w:rsidRPr="00F75DB0" w:rsidTr="00EA394F">
        <w:trPr>
          <w:trHeight w:val="567"/>
        </w:trPr>
        <w:tc>
          <w:tcPr>
            <w:tcW w:w="608" w:type="pct"/>
            <w:tcBorders>
              <w:top w:val="nil"/>
              <w:left w:val="nil"/>
              <w:bottom w:val="single" w:sz="4" w:space="0" w:color="0093D0"/>
              <w:right w:val="nil"/>
            </w:tcBorders>
            <w:shd w:val="clear" w:color="auto" w:fill="auto"/>
            <w:vAlign w:val="center"/>
            <w:hideMark/>
          </w:tcPr>
          <w:p w:rsidR="006E5F89" w:rsidRPr="00FF7682" w:rsidRDefault="006E5F89" w:rsidP="006E5F89">
            <w:pPr>
              <w:spacing w:after="0" w:line="240" w:lineRule="auto"/>
              <w:rPr>
                <w:rFonts w:eastAsia="Times New Roman"/>
                <w:b/>
                <w:bCs/>
                <w:color w:val="000000"/>
                <w:sz w:val="18"/>
                <w:szCs w:val="18"/>
                <w:lang w:eastAsia="en-AU"/>
              </w:rPr>
            </w:pPr>
            <w:r w:rsidRPr="00FF7682">
              <w:rPr>
                <w:rFonts w:eastAsia="Times New Roman"/>
                <w:b/>
                <w:bCs/>
                <w:color w:val="000000"/>
                <w:sz w:val="18"/>
                <w:szCs w:val="18"/>
                <w:lang w:eastAsia="en-AU"/>
              </w:rPr>
              <w:t>QLD Border Rivers</w:t>
            </w:r>
          </w:p>
        </w:tc>
        <w:tc>
          <w:tcPr>
            <w:tcW w:w="703" w:type="pct"/>
            <w:tcBorders>
              <w:top w:val="nil"/>
              <w:left w:val="nil"/>
              <w:bottom w:val="single" w:sz="4" w:space="0" w:color="0093D0"/>
              <w:right w:val="nil"/>
            </w:tcBorders>
            <w:shd w:val="clear" w:color="auto" w:fill="auto"/>
            <w:vAlign w:val="center"/>
            <w:hideMark/>
          </w:tcPr>
          <w:p w:rsidR="006E5F89" w:rsidRPr="00FF7682" w:rsidRDefault="006E5F89" w:rsidP="006E5F89">
            <w:pPr>
              <w:spacing w:after="0" w:line="240" w:lineRule="auto"/>
              <w:rPr>
                <w:rFonts w:eastAsia="Times New Roman"/>
                <w:color w:val="000000"/>
                <w:sz w:val="18"/>
                <w:szCs w:val="18"/>
                <w:lang w:eastAsia="en-AU"/>
              </w:rPr>
            </w:pPr>
            <w:r w:rsidRPr="00FF7682">
              <w:rPr>
                <w:rFonts w:eastAsia="Times New Roman"/>
                <w:color w:val="000000"/>
                <w:sz w:val="18"/>
                <w:szCs w:val="18"/>
                <w:lang w:eastAsia="en-AU"/>
              </w:rPr>
              <w:t>Border Rivers</w:t>
            </w:r>
          </w:p>
        </w:tc>
        <w:tc>
          <w:tcPr>
            <w:tcW w:w="855" w:type="pct"/>
            <w:tcBorders>
              <w:top w:val="nil"/>
              <w:left w:val="nil"/>
              <w:bottom w:val="single" w:sz="4" w:space="0" w:color="0093D0"/>
              <w:right w:val="nil"/>
            </w:tcBorders>
            <w:shd w:val="clear" w:color="auto" w:fill="auto"/>
            <w:noWrap/>
            <w:vAlign w:val="center"/>
            <w:hideMark/>
          </w:tcPr>
          <w:p w:rsidR="006E5F89" w:rsidRPr="00FF7682" w:rsidRDefault="006E5F89" w:rsidP="006E5F89">
            <w:pPr>
              <w:spacing w:after="0" w:line="240" w:lineRule="auto"/>
              <w:jc w:val="center"/>
              <w:rPr>
                <w:rFonts w:eastAsia="Times New Roman"/>
                <w:color w:val="000000"/>
                <w:sz w:val="18"/>
                <w:szCs w:val="18"/>
                <w:lang w:eastAsia="en-AU"/>
              </w:rPr>
            </w:pPr>
            <w:proofErr w:type="spellStart"/>
            <w:r w:rsidRPr="00FF7682">
              <w:rPr>
                <w:rFonts w:eastAsia="Times New Roman"/>
                <w:color w:val="000000"/>
                <w:sz w:val="18"/>
                <w:szCs w:val="18"/>
                <w:lang w:eastAsia="en-AU"/>
              </w:rPr>
              <w:t>Unsupplemented</w:t>
            </w:r>
            <w:proofErr w:type="spellEnd"/>
          </w:p>
        </w:tc>
        <w:tc>
          <w:tcPr>
            <w:tcW w:w="567" w:type="pct"/>
            <w:tcBorders>
              <w:top w:val="nil"/>
              <w:left w:val="nil"/>
              <w:bottom w:val="single" w:sz="4" w:space="0" w:color="0093D0"/>
              <w:right w:val="nil"/>
            </w:tcBorders>
            <w:shd w:val="clear" w:color="auto" w:fill="auto"/>
            <w:noWrap/>
            <w:vAlign w:val="center"/>
            <w:hideMark/>
          </w:tcPr>
          <w:p w:rsidR="006E5F89" w:rsidRPr="007C4ABA" w:rsidRDefault="006E5F89" w:rsidP="006E5F89">
            <w:pPr>
              <w:spacing w:after="0" w:line="240" w:lineRule="auto"/>
              <w:jc w:val="center"/>
              <w:rPr>
                <w:rFonts w:eastAsia="Times New Roman"/>
                <w:bCs/>
                <w:color w:val="000000"/>
                <w:sz w:val="18"/>
                <w:szCs w:val="18"/>
                <w:lang w:eastAsia="en-AU"/>
              </w:rPr>
            </w:pPr>
            <w:r w:rsidRPr="007C4ABA">
              <w:rPr>
                <w:rFonts w:asciiTheme="minorHAnsi" w:eastAsia="Times New Roman" w:hAnsiTheme="minorHAnsi"/>
                <w:color w:val="000000"/>
                <w:sz w:val="18"/>
                <w:szCs w:val="18"/>
                <w:lang w:eastAsia="en-AU"/>
              </w:rPr>
              <w:t>No trade</w:t>
            </w:r>
          </w:p>
        </w:tc>
        <w:tc>
          <w:tcPr>
            <w:tcW w:w="567" w:type="pct"/>
            <w:tcBorders>
              <w:top w:val="nil"/>
              <w:left w:val="nil"/>
              <w:bottom w:val="single" w:sz="4" w:space="0" w:color="0093D0"/>
              <w:right w:val="nil"/>
            </w:tcBorders>
            <w:shd w:val="clear" w:color="auto" w:fill="auto"/>
            <w:noWrap/>
            <w:vAlign w:val="center"/>
            <w:hideMark/>
          </w:tcPr>
          <w:p w:rsidR="006E5F89" w:rsidRPr="006E5F89" w:rsidRDefault="006E5F89" w:rsidP="006E5F89">
            <w:pPr>
              <w:spacing w:after="0" w:line="240" w:lineRule="auto"/>
              <w:jc w:val="center"/>
              <w:rPr>
                <w:rFonts w:asciiTheme="minorHAnsi" w:eastAsia="Times New Roman" w:hAnsiTheme="minorHAnsi"/>
                <w:b/>
                <w:color w:val="000000"/>
                <w:sz w:val="18"/>
                <w:szCs w:val="18"/>
                <w:lang w:eastAsia="en-AU"/>
              </w:rPr>
            </w:pPr>
            <w:r w:rsidRPr="006E5F89">
              <w:rPr>
                <w:rFonts w:asciiTheme="minorHAnsi" w:eastAsia="Times New Roman" w:hAnsiTheme="minorHAnsi"/>
                <w:b/>
                <w:color w:val="000000"/>
                <w:sz w:val="18"/>
                <w:szCs w:val="18"/>
                <w:lang w:eastAsia="en-AU"/>
              </w:rPr>
              <w:t>1,800</w:t>
            </w:r>
          </w:p>
        </w:tc>
        <w:tc>
          <w:tcPr>
            <w:tcW w:w="567" w:type="pct"/>
            <w:tcBorders>
              <w:top w:val="nil"/>
              <w:left w:val="nil"/>
              <w:bottom w:val="single" w:sz="4" w:space="0" w:color="0093D0"/>
              <w:right w:val="nil"/>
            </w:tcBorders>
            <w:shd w:val="clear" w:color="auto" w:fill="auto"/>
            <w:noWrap/>
            <w:vAlign w:val="center"/>
            <w:hideMark/>
          </w:tcPr>
          <w:p w:rsidR="006E5F89" w:rsidRPr="006E5F89" w:rsidRDefault="006E5F89" w:rsidP="006E5F89">
            <w:pPr>
              <w:spacing w:after="0" w:line="240" w:lineRule="auto"/>
              <w:jc w:val="center"/>
              <w:rPr>
                <w:rFonts w:asciiTheme="minorHAnsi" w:eastAsia="Times New Roman" w:hAnsiTheme="minorHAnsi"/>
                <w:b/>
                <w:color w:val="000000"/>
                <w:sz w:val="18"/>
                <w:szCs w:val="18"/>
                <w:lang w:eastAsia="en-AU"/>
              </w:rPr>
            </w:pPr>
            <w:r w:rsidRPr="006E5F89">
              <w:rPr>
                <w:rFonts w:asciiTheme="minorHAnsi" w:eastAsia="Times New Roman" w:hAnsiTheme="minorHAnsi"/>
                <w:b/>
                <w:color w:val="000000"/>
                <w:sz w:val="18"/>
                <w:szCs w:val="18"/>
                <w:lang w:eastAsia="en-AU"/>
              </w:rPr>
              <w:t>1,800</w:t>
            </w:r>
          </w:p>
        </w:tc>
        <w:tc>
          <w:tcPr>
            <w:tcW w:w="567" w:type="pct"/>
            <w:tcBorders>
              <w:top w:val="nil"/>
              <w:left w:val="nil"/>
              <w:bottom w:val="single" w:sz="4" w:space="0" w:color="0093D0"/>
              <w:right w:val="nil"/>
            </w:tcBorders>
            <w:shd w:val="clear" w:color="auto" w:fill="auto"/>
            <w:noWrap/>
            <w:vAlign w:val="center"/>
            <w:hideMark/>
          </w:tcPr>
          <w:p w:rsidR="006E5F89" w:rsidRPr="006E5F89" w:rsidRDefault="006E5F89" w:rsidP="006E5F89">
            <w:pPr>
              <w:spacing w:after="0" w:line="240" w:lineRule="auto"/>
              <w:jc w:val="center"/>
              <w:rPr>
                <w:rFonts w:asciiTheme="minorHAnsi" w:eastAsia="Times New Roman" w:hAnsiTheme="minorHAnsi"/>
                <w:b/>
                <w:color w:val="000000"/>
                <w:sz w:val="18"/>
                <w:szCs w:val="18"/>
                <w:lang w:eastAsia="en-AU"/>
              </w:rPr>
            </w:pPr>
            <w:r w:rsidRPr="006E5F89">
              <w:rPr>
                <w:rFonts w:asciiTheme="minorHAnsi" w:eastAsia="Times New Roman" w:hAnsiTheme="minorHAnsi"/>
                <w:b/>
                <w:color w:val="000000"/>
                <w:sz w:val="18"/>
                <w:szCs w:val="18"/>
                <w:lang w:eastAsia="en-AU"/>
              </w:rPr>
              <w:t>1,347</w:t>
            </w:r>
          </w:p>
        </w:tc>
        <w:tc>
          <w:tcPr>
            <w:tcW w:w="566" w:type="pct"/>
            <w:tcBorders>
              <w:top w:val="nil"/>
              <w:left w:val="nil"/>
              <w:bottom w:val="single" w:sz="4" w:space="0" w:color="0093D0"/>
              <w:right w:val="nil"/>
            </w:tcBorders>
            <w:shd w:val="clear" w:color="auto" w:fill="auto"/>
            <w:noWrap/>
            <w:vAlign w:val="center"/>
            <w:hideMark/>
          </w:tcPr>
          <w:p w:rsidR="006E5F89" w:rsidRPr="006E5F89" w:rsidRDefault="006E5F89" w:rsidP="006E5F89">
            <w:pPr>
              <w:spacing w:after="0" w:line="240" w:lineRule="auto"/>
              <w:jc w:val="center"/>
              <w:rPr>
                <w:rFonts w:asciiTheme="minorHAnsi" w:eastAsia="Times New Roman" w:hAnsiTheme="minorHAnsi"/>
                <w:b/>
                <w:color w:val="000000"/>
                <w:sz w:val="18"/>
                <w:szCs w:val="18"/>
                <w:lang w:eastAsia="en-AU"/>
              </w:rPr>
            </w:pPr>
            <w:r>
              <w:rPr>
                <w:rFonts w:asciiTheme="minorHAnsi" w:eastAsia="Times New Roman" w:hAnsiTheme="minorHAnsi"/>
                <w:b/>
                <w:color w:val="000000"/>
                <w:sz w:val="18"/>
                <w:szCs w:val="18"/>
                <w:lang w:eastAsia="en-AU"/>
              </w:rPr>
              <w:t>2</w:t>
            </w:r>
          </w:p>
        </w:tc>
      </w:tr>
      <w:tr w:rsidR="006E5F89" w:rsidRPr="00F75DB0" w:rsidTr="00EA394F">
        <w:trPr>
          <w:trHeight w:val="567"/>
        </w:trPr>
        <w:tc>
          <w:tcPr>
            <w:tcW w:w="608" w:type="pct"/>
            <w:tcBorders>
              <w:top w:val="nil"/>
              <w:left w:val="nil"/>
              <w:bottom w:val="single" w:sz="4" w:space="0" w:color="0093D0"/>
              <w:right w:val="nil"/>
            </w:tcBorders>
            <w:shd w:val="clear" w:color="auto" w:fill="auto"/>
            <w:vAlign w:val="center"/>
            <w:hideMark/>
          </w:tcPr>
          <w:p w:rsidR="006E5F89" w:rsidRPr="00FF7682" w:rsidRDefault="006E5F89" w:rsidP="006E5F89">
            <w:pPr>
              <w:spacing w:after="0" w:line="240" w:lineRule="auto"/>
              <w:rPr>
                <w:rFonts w:eastAsia="Times New Roman"/>
                <w:b/>
                <w:bCs/>
                <w:color w:val="000000"/>
                <w:sz w:val="18"/>
                <w:szCs w:val="18"/>
                <w:lang w:eastAsia="en-AU"/>
              </w:rPr>
            </w:pPr>
            <w:r w:rsidRPr="00FF7682">
              <w:rPr>
                <w:rFonts w:eastAsia="Times New Roman"/>
                <w:b/>
                <w:bCs/>
                <w:color w:val="000000"/>
                <w:sz w:val="18"/>
                <w:szCs w:val="18"/>
                <w:lang w:eastAsia="en-AU"/>
              </w:rPr>
              <w:t>Condamine-Balonne</w:t>
            </w:r>
          </w:p>
        </w:tc>
        <w:tc>
          <w:tcPr>
            <w:tcW w:w="703" w:type="pct"/>
            <w:tcBorders>
              <w:top w:val="nil"/>
              <w:left w:val="nil"/>
              <w:bottom w:val="single" w:sz="4" w:space="0" w:color="0093D0"/>
              <w:right w:val="nil"/>
            </w:tcBorders>
            <w:shd w:val="clear" w:color="auto" w:fill="auto"/>
            <w:vAlign w:val="center"/>
            <w:hideMark/>
          </w:tcPr>
          <w:p w:rsidR="006E5F89" w:rsidRPr="00FF7682" w:rsidRDefault="006E5F89" w:rsidP="006E5F89">
            <w:pPr>
              <w:spacing w:after="0" w:line="240" w:lineRule="auto"/>
              <w:rPr>
                <w:rFonts w:eastAsia="Times New Roman"/>
                <w:color w:val="000000"/>
                <w:sz w:val="18"/>
                <w:szCs w:val="18"/>
                <w:lang w:eastAsia="en-AU"/>
              </w:rPr>
            </w:pPr>
            <w:r w:rsidRPr="00FF7682">
              <w:rPr>
                <w:rFonts w:eastAsia="Times New Roman"/>
                <w:color w:val="000000"/>
                <w:sz w:val="18"/>
                <w:szCs w:val="18"/>
                <w:lang w:eastAsia="en-AU"/>
              </w:rPr>
              <w:t>St. George</w:t>
            </w:r>
            <w:r>
              <w:rPr>
                <w:rFonts w:eastAsia="Times New Roman"/>
                <w:color w:val="000000"/>
                <w:sz w:val="18"/>
                <w:szCs w:val="18"/>
                <w:lang w:eastAsia="en-AU"/>
              </w:rPr>
              <w:t xml:space="preserve"> / </w:t>
            </w:r>
            <w:r>
              <w:rPr>
                <w:rFonts w:eastAsia="Times New Roman"/>
                <w:color w:val="000000"/>
                <w:sz w:val="18"/>
                <w:szCs w:val="18"/>
                <w:lang w:eastAsia="en-AU"/>
              </w:rPr>
              <w:br/>
              <w:t>Upper Condamine</w:t>
            </w:r>
          </w:p>
        </w:tc>
        <w:tc>
          <w:tcPr>
            <w:tcW w:w="855" w:type="pct"/>
            <w:tcBorders>
              <w:top w:val="nil"/>
              <w:left w:val="nil"/>
              <w:bottom w:val="single" w:sz="4" w:space="0" w:color="0093D0"/>
              <w:right w:val="nil"/>
            </w:tcBorders>
            <w:shd w:val="clear" w:color="auto" w:fill="auto"/>
            <w:vAlign w:val="center"/>
            <w:hideMark/>
          </w:tcPr>
          <w:p w:rsidR="006E5F89" w:rsidRPr="00FF7682" w:rsidRDefault="006E5F89" w:rsidP="006E5F89">
            <w:pPr>
              <w:spacing w:after="0" w:line="240" w:lineRule="auto"/>
              <w:jc w:val="center"/>
              <w:rPr>
                <w:rFonts w:eastAsia="Times New Roman"/>
                <w:color w:val="000000"/>
                <w:sz w:val="18"/>
                <w:szCs w:val="18"/>
                <w:lang w:eastAsia="en-AU"/>
              </w:rPr>
            </w:pPr>
            <w:r w:rsidRPr="00FF7682">
              <w:rPr>
                <w:rFonts w:eastAsia="Times New Roman"/>
                <w:color w:val="000000"/>
                <w:sz w:val="18"/>
                <w:szCs w:val="18"/>
                <w:lang w:eastAsia="en-AU"/>
              </w:rPr>
              <w:t>Supplemented</w:t>
            </w:r>
          </w:p>
        </w:tc>
        <w:tc>
          <w:tcPr>
            <w:tcW w:w="567" w:type="pct"/>
            <w:tcBorders>
              <w:top w:val="nil"/>
              <w:left w:val="nil"/>
              <w:bottom w:val="single" w:sz="4" w:space="0" w:color="0093D0"/>
              <w:right w:val="nil"/>
            </w:tcBorders>
            <w:shd w:val="clear" w:color="auto" w:fill="auto"/>
            <w:noWrap/>
            <w:vAlign w:val="center"/>
            <w:hideMark/>
          </w:tcPr>
          <w:p w:rsidR="006E5F89" w:rsidRPr="007C4ABA" w:rsidRDefault="006E5F89" w:rsidP="006E5F89">
            <w:pPr>
              <w:spacing w:after="0" w:line="240" w:lineRule="auto"/>
              <w:jc w:val="center"/>
              <w:rPr>
                <w:rFonts w:eastAsia="Times New Roman"/>
                <w:bCs/>
                <w:color w:val="000000"/>
                <w:sz w:val="18"/>
                <w:szCs w:val="18"/>
                <w:lang w:eastAsia="en-AU"/>
              </w:rPr>
            </w:pPr>
            <w:r w:rsidRPr="007C4ABA">
              <w:rPr>
                <w:rFonts w:asciiTheme="minorHAnsi" w:eastAsia="Times New Roman" w:hAnsiTheme="minorHAnsi"/>
                <w:color w:val="000000"/>
                <w:sz w:val="18"/>
                <w:szCs w:val="18"/>
                <w:lang w:eastAsia="en-AU"/>
              </w:rPr>
              <w:t>No trade</w:t>
            </w:r>
          </w:p>
        </w:tc>
        <w:tc>
          <w:tcPr>
            <w:tcW w:w="567" w:type="pct"/>
            <w:tcBorders>
              <w:top w:val="nil"/>
              <w:left w:val="nil"/>
              <w:bottom w:val="single" w:sz="4" w:space="0" w:color="0093D0"/>
              <w:right w:val="nil"/>
            </w:tcBorders>
            <w:shd w:val="clear" w:color="auto" w:fill="auto"/>
            <w:noWrap/>
            <w:vAlign w:val="center"/>
            <w:hideMark/>
          </w:tcPr>
          <w:p w:rsidR="006E5F89" w:rsidRPr="006E5F89" w:rsidRDefault="006E5F89" w:rsidP="006E5F89">
            <w:pPr>
              <w:spacing w:after="0" w:line="240" w:lineRule="auto"/>
              <w:jc w:val="center"/>
              <w:rPr>
                <w:rFonts w:asciiTheme="minorHAnsi" w:eastAsia="Times New Roman" w:hAnsiTheme="minorHAnsi"/>
                <w:b/>
                <w:color w:val="000000"/>
                <w:sz w:val="18"/>
                <w:szCs w:val="18"/>
                <w:lang w:eastAsia="en-AU"/>
              </w:rPr>
            </w:pPr>
            <w:r w:rsidRPr="006E5F89">
              <w:rPr>
                <w:rFonts w:asciiTheme="minorHAnsi" w:eastAsia="Times New Roman" w:hAnsiTheme="minorHAnsi"/>
                <w:b/>
                <w:color w:val="000000"/>
                <w:sz w:val="18"/>
                <w:szCs w:val="18"/>
                <w:lang w:eastAsia="en-AU"/>
              </w:rPr>
              <w:t>2,150</w:t>
            </w:r>
          </w:p>
        </w:tc>
        <w:tc>
          <w:tcPr>
            <w:tcW w:w="567" w:type="pct"/>
            <w:tcBorders>
              <w:top w:val="nil"/>
              <w:left w:val="nil"/>
              <w:bottom w:val="single" w:sz="4" w:space="0" w:color="0093D0"/>
              <w:right w:val="nil"/>
            </w:tcBorders>
            <w:shd w:val="clear" w:color="auto" w:fill="auto"/>
            <w:noWrap/>
            <w:vAlign w:val="center"/>
            <w:hideMark/>
          </w:tcPr>
          <w:p w:rsidR="006E5F89" w:rsidRPr="006E5F89" w:rsidRDefault="006E5F89" w:rsidP="006E5F89">
            <w:pPr>
              <w:spacing w:after="0" w:line="240" w:lineRule="auto"/>
              <w:jc w:val="center"/>
              <w:rPr>
                <w:rFonts w:asciiTheme="minorHAnsi" w:eastAsia="Times New Roman" w:hAnsiTheme="minorHAnsi"/>
                <w:b/>
                <w:color w:val="000000"/>
                <w:sz w:val="18"/>
                <w:szCs w:val="18"/>
                <w:lang w:eastAsia="en-AU"/>
              </w:rPr>
            </w:pPr>
            <w:r w:rsidRPr="006E5F89">
              <w:rPr>
                <w:rFonts w:asciiTheme="minorHAnsi" w:eastAsia="Times New Roman" w:hAnsiTheme="minorHAnsi"/>
                <w:b/>
                <w:color w:val="000000"/>
                <w:sz w:val="18"/>
                <w:szCs w:val="18"/>
                <w:lang w:eastAsia="en-AU"/>
              </w:rPr>
              <w:t>2,457</w:t>
            </w:r>
          </w:p>
        </w:tc>
        <w:tc>
          <w:tcPr>
            <w:tcW w:w="567" w:type="pct"/>
            <w:tcBorders>
              <w:top w:val="nil"/>
              <w:left w:val="nil"/>
              <w:bottom w:val="single" w:sz="4" w:space="0" w:color="0093D0"/>
              <w:right w:val="nil"/>
            </w:tcBorders>
            <w:shd w:val="clear" w:color="auto" w:fill="auto"/>
            <w:noWrap/>
            <w:vAlign w:val="center"/>
            <w:hideMark/>
          </w:tcPr>
          <w:p w:rsidR="006E5F89" w:rsidRPr="006E5F89" w:rsidRDefault="006E5F89" w:rsidP="006E5F89">
            <w:pPr>
              <w:spacing w:after="0" w:line="240" w:lineRule="auto"/>
              <w:jc w:val="center"/>
              <w:rPr>
                <w:rFonts w:asciiTheme="minorHAnsi" w:eastAsia="Times New Roman" w:hAnsiTheme="minorHAnsi"/>
                <w:b/>
                <w:color w:val="000000"/>
                <w:sz w:val="18"/>
                <w:szCs w:val="18"/>
                <w:lang w:eastAsia="en-AU"/>
              </w:rPr>
            </w:pPr>
            <w:r w:rsidRPr="006E5F89">
              <w:rPr>
                <w:rFonts w:asciiTheme="minorHAnsi" w:eastAsia="Times New Roman" w:hAnsiTheme="minorHAnsi"/>
                <w:b/>
                <w:color w:val="000000"/>
                <w:sz w:val="18"/>
                <w:szCs w:val="18"/>
                <w:lang w:eastAsia="en-AU"/>
              </w:rPr>
              <w:t>14</w:t>
            </w:r>
          </w:p>
        </w:tc>
        <w:tc>
          <w:tcPr>
            <w:tcW w:w="566" w:type="pct"/>
            <w:tcBorders>
              <w:top w:val="nil"/>
              <w:left w:val="nil"/>
              <w:bottom w:val="single" w:sz="4" w:space="0" w:color="0093D0"/>
              <w:right w:val="nil"/>
            </w:tcBorders>
            <w:shd w:val="clear" w:color="auto" w:fill="auto"/>
            <w:noWrap/>
            <w:vAlign w:val="center"/>
            <w:hideMark/>
          </w:tcPr>
          <w:p w:rsidR="006E5F89" w:rsidRPr="006E5F89" w:rsidRDefault="006E5F89" w:rsidP="006E5F89">
            <w:pPr>
              <w:spacing w:after="0" w:line="240" w:lineRule="auto"/>
              <w:jc w:val="center"/>
              <w:rPr>
                <w:rFonts w:asciiTheme="minorHAnsi" w:eastAsia="Times New Roman" w:hAnsiTheme="minorHAnsi"/>
                <w:b/>
                <w:color w:val="000000"/>
                <w:sz w:val="18"/>
                <w:szCs w:val="18"/>
                <w:lang w:eastAsia="en-AU"/>
              </w:rPr>
            </w:pPr>
            <w:r w:rsidRPr="006E5F89">
              <w:rPr>
                <w:rFonts w:asciiTheme="minorHAnsi" w:eastAsia="Times New Roman" w:hAnsiTheme="minorHAnsi"/>
                <w:b/>
                <w:color w:val="000000"/>
                <w:sz w:val="18"/>
                <w:szCs w:val="18"/>
                <w:lang w:eastAsia="en-AU"/>
              </w:rPr>
              <w:t>2</w:t>
            </w:r>
          </w:p>
        </w:tc>
      </w:tr>
      <w:tr w:rsidR="006E5F89" w:rsidRPr="00F75DB0" w:rsidTr="00EA394F">
        <w:trPr>
          <w:trHeight w:val="567"/>
        </w:trPr>
        <w:tc>
          <w:tcPr>
            <w:tcW w:w="608" w:type="pct"/>
            <w:tcBorders>
              <w:top w:val="nil"/>
              <w:left w:val="nil"/>
              <w:bottom w:val="single" w:sz="4" w:space="0" w:color="0093D0"/>
              <w:right w:val="nil"/>
            </w:tcBorders>
            <w:shd w:val="clear" w:color="auto" w:fill="auto"/>
            <w:vAlign w:val="center"/>
            <w:hideMark/>
          </w:tcPr>
          <w:p w:rsidR="006E5F89" w:rsidRPr="00FF7682" w:rsidRDefault="006E5F89" w:rsidP="006E5F89">
            <w:pPr>
              <w:spacing w:after="0" w:line="240" w:lineRule="auto"/>
              <w:rPr>
                <w:rFonts w:eastAsia="Times New Roman"/>
                <w:b/>
                <w:bCs/>
                <w:color w:val="000000"/>
                <w:sz w:val="18"/>
                <w:szCs w:val="18"/>
                <w:lang w:eastAsia="en-AU"/>
              </w:rPr>
            </w:pPr>
            <w:r w:rsidRPr="00FF7682">
              <w:rPr>
                <w:rFonts w:eastAsia="Times New Roman"/>
                <w:b/>
                <w:bCs/>
                <w:color w:val="000000"/>
                <w:sz w:val="18"/>
                <w:szCs w:val="18"/>
                <w:lang w:eastAsia="en-AU"/>
              </w:rPr>
              <w:t>Condamine-Balonne</w:t>
            </w:r>
          </w:p>
        </w:tc>
        <w:tc>
          <w:tcPr>
            <w:tcW w:w="703" w:type="pct"/>
            <w:tcBorders>
              <w:top w:val="nil"/>
              <w:left w:val="nil"/>
              <w:bottom w:val="single" w:sz="4" w:space="0" w:color="0093D0"/>
              <w:right w:val="nil"/>
            </w:tcBorders>
            <w:shd w:val="clear" w:color="auto" w:fill="auto"/>
            <w:vAlign w:val="center"/>
            <w:hideMark/>
          </w:tcPr>
          <w:p w:rsidR="006E5F89" w:rsidRPr="00FF7682" w:rsidRDefault="006E5F89" w:rsidP="006E5F89">
            <w:pPr>
              <w:spacing w:after="0" w:line="240" w:lineRule="auto"/>
              <w:rPr>
                <w:rFonts w:eastAsia="Times New Roman"/>
                <w:color w:val="000000"/>
                <w:sz w:val="18"/>
                <w:szCs w:val="18"/>
                <w:lang w:eastAsia="en-AU"/>
              </w:rPr>
            </w:pPr>
            <w:r w:rsidRPr="00FF7682">
              <w:rPr>
                <w:rFonts w:eastAsia="Times New Roman"/>
                <w:color w:val="000000"/>
                <w:sz w:val="18"/>
                <w:szCs w:val="18"/>
                <w:lang w:eastAsia="en-AU"/>
              </w:rPr>
              <w:t>Condamine Balonne / Lower Balonne / Upper Condamine</w:t>
            </w:r>
          </w:p>
        </w:tc>
        <w:tc>
          <w:tcPr>
            <w:tcW w:w="855" w:type="pct"/>
            <w:tcBorders>
              <w:top w:val="nil"/>
              <w:left w:val="nil"/>
              <w:bottom w:val="single" w:sz="4" w:space="0" w:color="0093D0"/>
              <w:right w:val="nil"/>
            </w:tcBorders>
            <w:shd w:val="clear" w:color="auto" w:fill="auto"/>
            <w:noWrap/>
            <w:vAlign w:val="center"/>
            <w:hideMark/>
          </w:tcPr>
          <w:p w:rsidR="006E5F89" w:rsidRPr="00FF7682" w:rsidRDefault="006E5F89" w:rsidP="006E5F89">
            <w:pPr>
              <w:spacing w:after="0" w:line="240" w:lineRule="auto"/>
              <w:jc w:val="center"/>
              <w:rPr>
                <w:rFonts w:eastAsia="Times New Roman"/>
                <w:color w:val="000000"/>
                <w:sz w:val="18"/>
                <w:szCs w:val="18"/>
                <w:lang w:eastAsia="en-AU"/>
              </w:rPr>
            </w:pPr>
            <w:proofErr w:type="spellStart"/>
            <w:r w:rsidRPr="00FF7682">
              <w:rPr>
                <w:rFonts w:eastAsia="Times New Roman"/>
                <w:color w:val="000000"/>
                <w:sz w:val="18"/>
                <w:szCs w:val="18"/>
                <w:lang w:eastAsia="en-AU"/>
              </w:rPr>
              <w:t>Unsupplemented</w:t>
            </w:r>
            <w:proofErr w:type="spellEnd"/>
          </w:p>
        </w:tc>
        <w:tc>
          <w:tcPr>
            <w:tcW w:w="567" w:type="pct"/>
            <w:tcBorders>
              <w:top w:val="nil"/>
              <w:left w:val="nil"/>
              <w:bottom w:val="single" w:sz="4" w:space="0" w:color="0093D0"/>
              <w:right w:val="nil"/>
            </w:tcBorders>
            <w:shd w:val="clear" w:color="auto" w:fill="auto"/>
            <w:noWrap/>
            <w:vAlign w:val="center"/>
            <w:hideMark/>
          </w:tcPr>
          <w:p w:rsidR="006E5F89" w:rsidRPr="007C4ABA" w:rsidRDefault="006E5F89" w:rsidP="006E5F89">
            <w:pPr>
              <w:spacing w:after="0" w:line="240" w:lineRule="auto"/>
              <w:jc w:val="center"/>
              <w:rPr>
                <w:rFonts w:eastAsia="Times New Roman"/>
                <w:bCs/>
                <w:color w:val="000000"/>
                <w:sz w:val="18"/>
                <w:szCs w:val="18"/>
                <w:lang w:eastAsia="en-AU"/>
              </w:rPr>
            </w:pPr>
            <w:r w:rsidRPr="007C4ABA">
              <w:rPr>
                <w:rFonts w:asciiTheme="minorHAnsi" w:eastAsia="Times New Roman" w:hAnsiTheme="minorHAnsi"/>
                <w:color w:val="000000"/>
                <w:sz w:val="18"/>
                <w:szCs w:val="18"/>
                <w:lang w:eastAsia="en-AU"/>
              </w:rPr>
              <w:t>No trade</w:t>
            </w:r>
          </w:p>
        </w:tc>
        <w:tc>
          <w:tcPr>
            <w:tcW w:w="567" w:type="pct"/>
            <w:tcBorders>
              <w:top w:val="nil"/>
              <w:left w:val="nil"/>
              <w:bottom w:val="single" w:sz="4" w:space="0" w:color="0093D0"/>
              <w:right w:val="nil"/>
            </w:tcBorders>
            <w:shd w:val="clear" w:color="auto" w:fill="auto"/>
            <w:noWrap/>
            <w:vAlign w:val="center"/>
            <w:hideMark/>
          </w:tcPr>
          <w:p w:rsidR="006E5F89" w:rsidRPr="006E5F89" w:rsidRDefault="006E5F89" w:rsidP="006E5F89">
            <w:pPr>
              <w:spacing w:after="0" w:line="240" w:lineRule="auto"/>
              <w:jc w:val="center"/>
              <w:rPr>
                <w:rFonts w:asciiTheme="minorHAnsi" w:eastAsia="Times New Roman" w:hAnsiTheme="minorHAnsi"/>
                <w:b/>
                <w:color w:val="000000"/>
                <w:sz w:val="18"/>
                <w:szCs w:val="18"/>
                <w:lang w:eastAsia="en-AU"/>
              </w:rPr>
            </w:pPr>
            <w:r w:rsidRPr="006E5F89">
              <w:rPr>
                <w:rFonts w:asciiTheme="minorHAnsi" w:eastAsia="Times New Roman" w:hAnsiTheme="minorHAnsi"/>
                <w:b/>
                <w:color w:val="000000"/>
                <w:sz w:val="18"/>
                <w:szCs w:val="18"/>
                <w:lang w:eastAsia="en-AU"/>
              </w:rPr>
              <w:t>1,513</w:t>
            </w:r>
          </w:p>
        </w:tc>
        <w:tc>
          <w:tcPr>
            <w:tcW w:w="567" w:type="pct"/>
            <w:tcBorders>
              <w:top w:val="nil"/>
              <w:left w:val="nil"/>
              <w:bottom w:val="single" w:sz="4" w:space="0" w:color="0093D0"/>
              <w:right w:val="nil"/>
            </w:tcBorders>
            <w:shd w:val="clear" w:color="auto" w:fill="auto"/>
            <w:noWrap/>
            <w:vAlign w:val="center"/>
            <w:hideMark/>
          </w:tcPr>
          <w:p w:rsidR="006E5F89" w:rsidRPr="006E5F89" w:rsidRDefault="006E5F89" w:rsidP="006E5F89">
            <w:pPr>
              <w:spacing w:after="0" w:line="240" w:lineRule="auto"/>
              <w:jc w:val="center"/>
              <w:rPr>
                <w:rFonts w:asciiTheme="minorHAnsi" w:eastAsia="Times New Roman" w:hAnsiTheme="minorHAnsi"/>
                <w:b/>
                <w:color w:val="000000"/>
                <w:sz w:val="18"/>
                <w:szCs w:val="18"/>
                <w:lang w:eastAsia="en-AU"/>
              </w:rPr>
            </w:pPr>
            <w:r w:rsidRPr="006E5F89">
              <w:rPr>
                <w:rFonts w:asciiTheme="minorHAnsi" w:eastAsia="Times New Roman" w:hAnsiTheme="minorHAnsi"/>
                <w:b/>
                <w:color w:val="000000"/>
                <w:sz w:val="18"/>
                <w:szCs w:val="18"/>
                <w:lang w:eastAsia="en-AU"/>
              </w:rPr>
              <w:t>1,501</w:t>
            </w:r>
          </w:p>
        </w:tc>
        <w:tc>
          <w:tcPr>
            <w:tcW w:w="567" w:type="pct"/>
            <w:tcBorders>
              <w:top w:val="nil"/>
              <w:left w:val="nil"/>
              <w:bottom w:val="single" w:sz="4" w:space="0" w:color="0093D0"/>
              <w:right w:val="nil"/>
            </w:tcBorders>
            <w:shd w:val="clear" w:color="auto" w:fill="auto"/>
            <w:noWrap/>
            <w:vAlign w:val="center"/>
            <w:hideMark/>
          </w:tcPr>
          <w:p w:rsidR="006E5F89" w:rsidRPr="006E5F89" w:rsidRDefault="006E5F89" w:rsidP="006E5F89">
            <w:pPr>
              <w:spacing w:after="0" w:line="240" w:lineRule="auto"/>
              <w:jc w:val="center"/>
              <w:rPr>
                <w:rFonts w:asciiTheme="minorHAnsi" w:eastAsia="Times New Roman" w:hAnsiTheme="minorHAnsi"/>
                <w:b/>
                <w:color w:val="000000"/>
                <w:sz w:val="18"/>
                <w:szCs w:val="18"/>
                <w:lang w:eastAsia="en-AU"/>
              </w:rPr>
            </w:pPr>
            <w:r w:rsidRPr="006E5F89">
              <w:rPr>
                <w:rFonts w:asciiTheme="minorHAnsi" w:eastAsia="Times New Roman" w:hAnsiTheme="minorHAnsi"/>
                <w:b/>
                <w:color w:val="000000"/>
                <w:sz w:val="18"/>
                <w:szCs w:val="18"/>
                <w:lang w:eastAsia="en-AU"/>
              </w:rPr>
              <w:t>2,540</w:t>
            </w:r>
          </w:p>
        </w:tc>
        <w:tc>
          <w:tcPr>
            <w:tcW w:w="566" w:type="pct"/>
            <w:tcBorders>
              <w:top w:val="nil"/>
              <w:left w:val="nil"/>
              <w:bottom w:val="single" w:sz="4" w:space="0" w:color="0093D0"/>
              <w:right w:val="nil"/>
            </w:tcBorders>
            <w:shd w:val="clear" w:color="auto" w:fill="auto"/>
            <w:noWrap/>
            <w:vAlign w:val="center"/>
            <w:hideMark/>
          </w:tcPr>
          <w:p w:rsidR="006E5F89" w:rsidRPr="006E5F89" w:rsidRDefault="006E5F89" w:rsidP="006E5F89">
            <w:pPr>
              <w:spacing w:after="0" w:line="240" w:lineRule="auto"/>
              <w:jc w:val="center"/>
              <w:rPr>
                <w:rFonts w:asciiTheme="minorHAnsi" w:eastAsia="Times New Roman" w:hAnsiTheme="minorHAnsi"/>
                <w:b/>
                <w:color w:val="000000"/>
                <w:sz w:val="18"/>
                <w:szCs w:val="18"/>
                <w:lang w:eastAsia="en-AU"/>
              </w:rPr>
            </w:pPr>
            <w:r w:rsidRPr="006E5F89">
              <w:rPr>
                <w:rFonts w:asciiTheme="minorHAnsi" w:eastAsia="Times New Roman" w:hAnsiTheme="minorHAnsi"/>
                <w:b/>
                <w:color w:val="000000"/>
                <w:sz w:val="18"/>
                <w:szCs w:val="18"/>
                <w:lang w:eastAsia="en-AU"/>
              </w:rPr>
              <w:t>2</w:t>
            </w:r>
          </w:p>
        </w:tc>
      </w:tr>
      <w:tr w:rsidR="006E5F89" w:rsidRPr="00F75DB0" w:rsidTr="00EA394F">
        <w:trPr>
          <w:trHeight w:val="567"/>
        </w:trPr>
        <w:tc>
          <w:tcPr>
            <w:tcW w:w="608" w:type="pct"/>
            <w:tcBorders>
              <w:top w:val="nil"/>
              <w:left w:val="nil"/>
              <w:bottom w:val="single" w:sz="4" w:space="0" w:color="0093D0"/>
              <w:right w:val="nil"/>
            </w:tcBorders>
            <w:shd w:val="clear" w:color="auto" w:fill="auto"/>
            <w:vAlign w:val="center"/>
            <w:hideMark/>
          </w:tcPr>
          <w:p w:rsidR="006E5F89" w:rsidRPr="00FF7682" w:rsidRDefault="006E5F89" w:rsidP="006E5F89">
            <w:pPr>
              <w:spacing w:after="0" w:line="240" w:lineRule="auto"/>
              <w:rPr>
                <w:rFonts w:eastAsia="Times New Roman"/>
                <w:b/>
                <w:bCs/>
                <w:color w:val="000000"/>
                <w:sz w:val="18"/>
                <w:szCs w:val="18"/>
                <w:lang w:eastAsia="en-AU"/>
              </w:rPr>
            </w:pPr>
            <w:r w:rsidRPr="00FF7682">
              <w:rPr>
                <w:rFonts w:eastAsia="Times New Roman"/>
                <w:b/>
                <w:bCs/>
                <w:color w:val="000000"/>
                <w:sz w:val="18"/>
                <w:szCs w:val="18"/>
                <w:lang w:eastAsia="en-AU"/>
              </w:rPr>
              <w:t>Condamine-Balonne</w:t>
            </w:r>
          </w:p>
        </w:tc>
        <w:tc>
          <w:tcPr>
            <w:tcW w:w="703" w:type="pct"/>
            <w:tcBorders>
              <w:top w:val="nil"/>
              <w:left w:val="nil"/>
              <w:bottom w:val="single" w:sz="4" w:space="0" w:color="0093D0"/>
              <w:right w:val="nil"/>
            </w:tcBorders>
            <w:shd w:val="clear" w:color="auto" w:fill="auto"/>
            <w:vAlign w:val="center"/>
            <w:hideMark/>
          </w:tcPr>
          <w:p w:rsidR="006E5F89" w:rsidRPr="00FF7682" w:rsidRDefault="006E5F89" w:rsidP="006E5F89">
            <w:pPr>
              <w:spacing w:after="0" w:line="240" w:lineRule="auto"/>
              <w:rPr>
                <w:rFonts w:eastAsia="Times New Roman"/>
                <w:color w:val="000000"/>
                <w:sz w:val="18"/>
                <w:szCs w:val="18"/>
                <w:lang w:eastAsia="en-AU"/>
              </w:rPr>
            </w:pPr>
            <w:r w:rsidRPr="00FF7682">
              <w:rPr>
                <w:rFonts w:eastAsia="Times New Roman"/>
                <w:color w:val="000000"/>
                <w:sz w:val="18"/>
                <w:szCs w:val="18"/>
                <w:lang w:eastAsia="en-AU"/>
              </w:rPr>
              <w:t>Upper Condamine</w:t>
            </w:r>
          </w:p>
        </w:tc>
        <w:tc>
          <w:tcPr>
            <w:tcW w:w="855" w:type="pct"/>
            <w:tcBorders>
              <w:top w:val="nil"/>
              <w:left w:val="nil"/>
              <w:bottom w:val="single" w:sz="4" w:space="0" w:color="0093D0"/>
              <w:right w:val="nil"/>
            </w:tcBorders>
            <w:shd w:val="clear" w:color="auto" w:fill="auto"/>
            <w:noWrap/>
            <w:vAlign w:val="center"/>
            <w:hideMark/>
          </w:tcPr>
          <w:p w:rsidR="006E5F89" w:rsidRPr="00FF7682" w:rsidRDefault="006E5F89" w:rsidP="006E5F89">
            <w:pPr>
              <w:spacing w:after="0" w:line="240" w:lineRule="auto"/>
              <w:jc w:val="center"/>
              <w:rPr>
                <w:rFonts w:eastAsia="Times New Roman"/>
                <w:color w:val="000000"/>
                <w:sz w:val="18"/>
                <w:szCs w:val="18"/>
                <w:lang w:eastAsia="en-AU"/>
              </w:rPr>
            </w:pPr>
            <w:r w:rsidRPr="00FF7682">
              <w:rPr>
                <w:rFonts w:eastAsia="Times New Roman"/>
                <w:color w:val="000000"/>
                <w:sz w:val="18"/>
                <w:szCs w:val="18"/>
                <w:lang w:eastAsia="en-AU"/>
              </w:rPr>
              <w:t>Alluvium Ground-</w:t>
            </w:r>
            <w:proofErr w:type="spellStart"/>
            <w:r w:rsidRPr="00FF7682">
              <w:rPr>
                <w:rFonts w:eastAsia="Times New Roman"/>
                <w:color w:val="000000"/>
                <w:sz w:val="18"/>
                <w:szCs w:val="18"/>
                <w:lang w:eastAsia="en-AU"/>
              </w:rPr>
              <w:t>water</w:t>
            </w:r>
            <w:r w:rsidRPr="00FF7682">
              <w:rPr>
                <w:rFonts w:eastAsia="Times New Roman"/>
                <w:b/>
                <w:bCs/>
                <w:color w:val="000000"/>
                <w:sz w:val="18"/>
                <w:szCs w:val="18"/>
                <w:vertAlign w:val="superscript"/>
                <w:lang w:eastAsia="en-AU"/>
              </w:rPr>
              <w:t>a</w:t>
            </w:r>
            <w:proofErr w:type="spellEnd"/>
          </w:p>
        </w:tc>
        <w:tc>
          <w:tcPr>
            <w:tcW w:w="567" w:type="pct"/>
            <w:tcBorders>
              <w:top w:val="nil"/>
              <w:left w:val="nil"/>
              <w:bottom w:val="single" w:sz="4" w:space="0" w:color="0093D0"/>
              <w:right w:val="nil"/>
            </w:tcBorders>
            <w:shd w:val="clear" w:color="auto" w:fill="auto"/>
            <w:noWrap/>
            <w:vAlign w:val="center"/>
            <w:hideMark/>
          </w:tcPr>
          <w:p w:rsidR="006E5F89" w:rsidRPr="006E5F89" w:rsidRDefault="006E5F89" w:rsidP="006E5F89">
            <w:pPr>
              <w:spacing w:after="0" w:line="240" w:lineRule="auto"/>
              <w:jc w:val="center"/>
              <w:rPr>
                <w:rFonts w:eastAsia="Times New Roman"/>
                <w:color w:val="000000"/>
                <w:sz w:val="18"/>
                <w:szCs w:val="18"/>
                <w:lang w:eastAsia="en-AU"/>
              </w:rPr>
            </w:pPr>
            <w:r w:rsidRPr="006E5F89">
              <w:rPr>
                <w:rFonts w:eastAsia="Times New Roman"/>
                <w:color w:val="000000"/>
                <w:sz w:val="18"/>
                <w:szCs w:val="18"/>
                <w:lang w:eastAsia="en-AU"/>
              </w:rPr>
              <w:t>-</w:t>
            </w:r>
          </w:p>
        </w:tc>
        <w:tc>
          <w:tcPr>
            <w:tcW w:w="567" w:type="pct"/>
            <w:tcBorders>
              <w:top w:val="nil"/>
              <w:left w:val="nil"/>
              <w:bottom w:val="single" w:sz="4" w:space="0" w:color="0093D0"/>
              <w:right w:val="nil"/>
            </w:tcBorders>
            <w:shd w:val="clear" w:color="auto" w:fill="auto"/>
            <w:noWrap/>
            <w:vAlign w:val="center"/>
            <w:hideMark/>
          </w:tcPr>
          <w:p w:rsidR="006E5F89" w:rsidRPr="006E5F89" w:rsidRDefault="006E5F89" w:rsidP="006E5F89">
            <w:pPr>
              <w:spacing w:after="0" w:line="240" w:lineRule="auto"/>
              <w:jc w:val="center"/>
              <w:rPr>
                <w:rFonts w:eastAsia="Times New Roman"/>
                <w:color w:val="000000"/>
                <w:sz w:val="18"/>
                <w:szCs w:val="18"/>
                <w:lang w:eastAsia="en-AU"/>
              </w:rPr>
            </w:pPr>
            <w:r w:rsidRPr="006E5F89">
              <w:rPr>
                <w:rFonts w:eastAsia="Times New Roman"/>
                <w:color w:val="000000"/>
                <w:sz w:val="18"/>
                <w:szCs w:val="18"/>
                <w:lang w:eastAsia="en-AU"/>
              </w:rPr>
              <w:t>-</w:t>
            </w:r>
          </w:p>
        </w:tc>
        <w:tc>
          <w:tcPr>
            <w:tcW w:w="567" w:type="pct"/>
            <w:tcBorders>
              <w:top w:val="nil"/>
              <w:left w:val="nil"/>
              <w:bottom w:val="single" w:sz="4" w:space="0" w:color="0093D0"/>
              <w:right w:val="nil"/>
            </w:tcBorders>
            <w:shd w:val="clear" w:color="auto" w:fill="auto"/>
            <w:noWrap/>
            <w:vAlign w:val="center"/>
            <w:hideMark/>
          </w:tcPr>
          <w:p w:rsidR="006E5F89" w:rsidRPr="006E5F89" w:rsidRDefault="006E5F89" w:rsidP="006E5F89">
            <w:pPr>
              <w:spacing w:after="0" w:line="240" w:lineRule="auto"/>
              <w:jc w:val="center"/>
              <w:rPr>
                <w:rFonts w:eastAsia="Times New Roman"/>
                <w:b/>
                <w:bCs/>
                <w:color w:val="000000"/>
                <w:sz w:val="18"/>
                <w:szCs w:val="18"/>
                <w:lang w:eastAsia="en-AU"/>
              </w:rPr>
            </w:pPr>
            <w:r w:rsidRPr="006E5F89">
              <w:rPr>
                <w:rFonts w:eastAsia="Times New Roman"/>
                <w:color w:val="000000"/>
                <w:sz w:val="18"/>
                <w:szCs w:val="18"/>
                <w:lang w:eastAsia="en-AU"/>
              </w:rPr>
              <w:t>-</w:t>
            </w:r>
          </w:p>
        </w:tc>
        <w:tc>
          <w:tcPr>
            <w:tcW w:w="567" w:type="pct"/>
            <w:tcBorders>
              <w:top w:val="nil"/>
              <w:left w:val="nil"/>
              <w:bottom w:val="single" w:sz="4" w:space="0" w:color="0093D0"/>
              <w:right w:val="nil"/>
            </w:tcBorders>
            <w:shd w:val="clear" w:color="auto" w:fill="auto"/>
            <w:noWrap/>
            <w:vAlign w:val="center"/>
            <w:hideMark/>
          </w:tcPr>
          <w:p w:rsidR="006E5F89" w:rsidRPr="006E5F89" w:rsidRDefault="006E5F89" w:rsidP="006E5F89">
            <w:pPr>
              <w:spacing w:after="0" w:line="240" w:lineRule="auto"/>
              <w:jc w:val="center"/>
              <w:rPr>
                <w:rFonts w:eastAsia="Times New Roman"/>
                <w:color w:val="000000"/>
                <w:sz w:val="18"/>
                <w:szCs w:val="18"/>
                <w:lang w:eastAsia="en-AU"/>
              </w:rPr>
            </w:pPr>
            <w:r w:rsidRPr="006E5F89">
              <w:rPr>
                <w:rFonts w:eastAsia="Times New Roman"/>
                <w:color w:val="000000"/>
                <w:sz w:val="18"/>
                <w:szCs w:val="18"/>
                <w:lang w:eastAsia="en-AU"/>
              </w:rPr>
              <w:t>-</w:t>
            </w:r>
          </w:p>
        </w:tc>
        <w:tc>
          <w:tcPr>
            <w:tcW w:w="566" w:type="pct"/>
            <w:tcBorders>
              <w:top w:val="nil"/>
              <w:left w:val="nil"/>
              <w:bottom w:val="single" w:sz="4" w:space="0" w:color="0093D0"/>
              <w:right w:val="nil"/>
            </w:tcBorders>
            <w:shd w:val="clear" w:color="auto" w:fill="auto"/>
            <w:noWrap/>
            <w:vAlign w:val="center"/>
            <w:hideMark/>
          </w:tcPr>
          <w:p w:rsidR="006E5F89" w:rsidRPr="006E5F89" w:rsidRDefault="006E5F89" w:rsidP="006E5F89">
            <w:pPr>
              <w:spacing w:after="0" w:line="240" w:lineRule="auto"/>
              <w:jc w:val="center"/>
              <w:rPr>
                <w:rFonts w:eastAsia="Times New Roman"/>
                <w:color w:val="000000"/>
                <w:sz w:val="18"/>
                <w:szCs w:val="18"/>
                <w:lang w:eastAsia="en-AU"/>
              </w:rPr>
            </w:pPr>
            <w:r w:rsidRPr="006E5F89">
              <w:rPr>
                <w:rFonts w:eastAsia="Times New Roman"/>
                <w:color w:val="000000"/>
                <w:sz w:val="18"/>
                <w:szCs w:val="18"/>
                <w:lang w:eastAsia="en-AU"/>
              </w:rPr>
              <w:t>-</w:t>
            </w:r>
          </w:p>
        </w:tc>
      </w:tr>
      <w:tr w:rsidR="006E5F89" w:rsidRPr="00F75DB0" w:rsidTr="00EA394F">
        <w:trPr>
          <w:trHeight w:val="567"/>
        </w:trPr>
        <w:tc>
          <w:tcPr>
            <w:tcW w:w="608" w:type="pct"/>
            <w:tcBorders>
              <w:top w:val="single" w:sz="4" w:space="0" w:color="0093D0"/>
              <w:left w:val="nil"/>
              <w:bottom w:val="single" w:sz="4" w:space="0" w:color="0093D0"/>
              <w:right w:val="nil"/>
            </w:tcBorders>
            <w:shd w:val="clear" w:color="auto" w:fill="auto"/>
            <w:vAlign w:val="center"/>
          </w:tcPr>
          <w:p w:rsidR="006E5F89" w:rsidRPr="00FF7682" w:rsidRDefault="006E5F89" w:rsidP="006E5F89">
            <w:pPr>
              <w:spacing w:after="0" w:line="240" w:lineRule="auto"/>
              <w:rPr>
                <w:rFonts w:eastAsia="Times New Roman"/>
                <w:b/>
                <w:bCs/>
                <w:color w:val="000000"/>
                <w:sz w:val="18"/>
                <w:szCs w:val="18"/>
                <w:lang w:eastAsia="en-AU"/>
              </w:rPr>
            </w:pPr>
            <w:r w:rsidRPr="00B6237B">
              <w:rPr>
                <w:b/>
                <w:color w:val="000000"/>
                <w:sz w:val="18"/>
                <w:szCs w:val="18"/>
              </w:rPr>
              <w:t>Condamine-Balonne</w:t>
            </w:r>
          </w:p>
        </w:tc>
        <w:tc>
          <w:tcPr>
            <w:tcW w:w="703" w:type="pct"/>
            <w:tcBorders>
              <w:top w:val="single" w:sz="4" w:space="0" w:color="0093D0"/>
              <w:left w:val="nil"/>
              <w:bottom w:val="single" w:sz="4" w:space="0" w:color="0093D0"/>
              <w:right w:val="nil"/>
            </w:tcBorders>
            <w:shd w:val="clear" w:color="auto" w:fill="auto"/>
            <w:vAlign w:val="center"/>
          </w:tcPr>
          <w:p w:rsidR="006E5F89" w:rsidRPr="00FF7682" w:rsidRDefault="006E5F89" w:rsidP="006E5F89">
            <w:pPr>
              <w:spacing w:after="0" w:line="240" w:lineRule="auto"/>
              <w:rPr>
                <w:rFonts w:eastAsia="Times New Roman"/>
                <w:color w:val="000000"/>
                <w:sz w:val="18"/>
                <w:szCs w:val="18"/>
                <w:lang w:eastAsia="en-AU"/>
              </w:rPr>
            </w:pPr>
            <w:r w:rsidRPr="00B6237B">
              <w:rPr>
                <w:color w:val="000000"/>
                <w:sz w:val="18"/>
                <w:szCs w:val="18"/>
              </w:rPr>
              <w:t>Lower Balonne</w:t>
            </w:r>
          </w:p>
        </w:tc>
        <w:tc>
          <w:tcPr>
            <w:tcW w:w="855" w:type="pct"/>
            <w:tcBorders>
              <w:top w:val="single" w:sz="4" w:space="0" w:color="0093D0"/>
              <w:left w:val="nil"/>
              <w:bottom w:val="single" w:sz="4" w:space="0" w:color="0093D0"/>
              <w:right w:val="nil"/>
            </w:tcBorders>
            <w:shd w:val="clear" w:color="auto" w:fill="auto"/>
            <w:noWrap/>
            <w:vAlign w:val="center"/>
          </w:tcPr>
          <w:p w:rsidR="006E5F89" w:rsidRPr="00FF7682" w:rsidRDefault="006E5F89" w:rsidP="006E5F89">
            <w:pPr>
              <w:spacing w:after="0" w:line="240" w:lineRule="auto"/>
              <w:jc w:val="center"/>
              <w:rPr>
                <w:rFonts w:eastAsia="Times New Roman"/>
                <w:color w:val="000000"/>
                <w:sz w:val="18"/>
                <w:szCs w:val="18"/>
                <w:lang w:eastAsia="en-AU"/>
              </w:rPr>
            </w:pPr>
            <w:r w:rsidRPr="00B6237B">
              <w:rPr>
                <w:color w:val="000000"/>
                <w:sz w:val="18"/>
                <w:szCs w:val="18"/>
              </w:rPr>
              <w:t>Overland Flow</w:t>
            </w:r>
          </w:p>
        </w:tc>
        <w:tc>
          <w:tcPr>
            <w:tcW w:w="567" w:type="pct"/>
            <w:tcBorders>
              <w:top w:val="single" w:sz="4" w:space="0" w:color="0093D0"/>
              <w:left w:val="nil"/>
              <w:bottom w:val="single" w:sz="4" w:space="0" w:color="0093D0"/>
              <w:right w:val="nil"/>
            </w:tcBorders>
            <w:shd w:val="clear" w:color="auto" w:fill="auto"/>
            <w:noWrap/>
            <w:vAlign w:val="center"/>
          </w:tcPr>
          <w:p w:rsidR="006E5F89" w:rsidRPr="006E5F89" w:rsidRDefault="006E5F89" w:rsidP="006E5F89">
            <w:pPr>
              <w:spacing w:after="0" w:line="240" w:lineRule="auto"/>
              <w:jc w:val="center"/>
              <w:rPr>
                <w:rFonts w:eastAsia="Times New Roman"/>
                <w:color w:val="000000"/>
                <w:sz w:val="18"/>
                <w:szCs w:val="18"/>
                <w:lang w:eastAsia="en-AU"/>
              </w:rPr>
            </w:pPr>
            <w:r w:rsidRPr="006E5F89">
              <w:rPr>
                <w:rFonts w:eastAsia="Times New Roman"/>
                <w:color w:val="000000"/>
                <w:sz w:val="18"/>
                <w:szCs w:val="18"/>
                <w:lang w:eastAsia="en-AU"/>
              </w:rPr>
              <w:t>-</w:t>
            </w:r>
          </w:p>
        </w:tc>
        <w:tc>
          <w:tcPr>
            <w:tcW w:w="567" w:type="pct"/>
            <w:tcBorders>
              <w:top w:val="single" w:sz="4" w:space="0" w:color="0093D0"/>
              <w:left w:val="nil"/>
              <w:bottom w:val="single" w:sz="4" w:space="0" w:color="0093D0"/>
              <w:right w:val="nil"/>
            </w:tcBorders>
            <w:shd w:val="clear" w:color="auto" w:fill="auto"/>
            <w:noWrap/>
            <w:vAlign w:val="center"/>
          </w:tcPr>
          <w:p w:rsidR="006E5F89" w:rsidRPr="006E5F89" w:rsidRDefault="006E5F89" w:rsidP="006E5F89">
            <w:pPr>
              <w:spacing w:after="0" w:line="240" w:lineRule="auto"/>
              <w:jc w:val="center"/>
              <w:rPr>
                <w:rFonts w:eastAsia="Times New Roman"/>
                <w:color w:val="000000"/>
                <w:sz w:val="18"/>
                <w:szCs w:val="18"/>
                <w:lang w:eastAsia="en-AU"/>
              </w:rPr>
            </w:pPr>
            <w:r w:rsidRPr="006E5F89">
              <w:rPr>
                <w:rFonts w:eastAsia="Times New Roman"/>
                <w:color w:val="000000"/>
                <w:sz w:val="18"/>
                <w:szCs w:val="18"/>
                <w:lang w:eastAsia="en-AU"/>
              </w:rPr>
              <w:t>-</w:t>
            </w:r>
          </w:p>
        </w:tc>
        <w:tc>
          <w:tcPr>
            <w:tcW w:w="567" w:type="pct"/>
            <w:tcBorders>
              <w:top w:val="single" w:sz="4" w:space="0" w:color="0093D0"/>
              <w:left w:val="nil"/>
              <w:bottom w:val="single" w:sz="4" w:space="0" w:color="0093D0"/>
              <w:right w:val="nil"/>
            </w:tcBorders>
            <w:shd w:val="clear" w:color="auto" w:fill="auto"/>
            <w:noWrap/>
            <w:vAlign w:val="center"/>
          </w:tcPr>
          <w:p w:rsidR="006E5F89" w:rsidRPr="006E5F89" w:rsidRDefault="006E5F89" w:rsidP="006E5F89">
            <w:pPr>
              <w:spacing w:after="0" w:line="240" w:lineRule="auto"/>
              <w:jc w:val="center"/>
              <w:rPr>
                <w:rFonts w:eastAsia="Times New Roman"/>
                <w:b/>
                <w:bCs/>
                <w:color w:val="000000"/>
                <w:sz w:val="18"/>
                <w:szCs w:val="18"/>
                <w:lang w:eastAsia="en-AU"/>
              </w:rPr>
            </w:pPr>
            <w:r w:rsidRPr="006E5F89">
              <w:rPr>
                <w:rFonts w:eastAsia="Times New Roman"/>
                <w:color w:val="000000"/>
                <w:sz w:val="18"/>
                <w:szCs w:val="18"/>
                <w:lang w:eastAsia="en-AU"/>
              </w:rPr>
              <w:t>-</w:t>
            </w:r>
          </w:p>
        </w:tc>
        <w:tc>
          <w:tcPr>
            <w:tcW w:w="567" w:type="pct"/>
            <w:tcBorders>
              <w:top w:val="single" w:sz="4" w:space="0" w:color="0093D0"/>
              <w:left w:val="nil"/>
              <w:bottom w:val="single" w:sz="4" w:space="0" w:color="0093D0"/>
              <w:right w:val="nil"/>
            </w:tcBorders>
            <w:shd w:val="clear" w:color="auto" w:fill="auto"/>
            <w:noWrap/>
            <w:vAlign w:val="center"/>
          </w:tcPr>
          <w:p w:rsidR="006E5F89" w:rsidRPr="006E5F89" w:rsidRDefault="006E5F89" w:rsidP="006E5F89">
            <w:pPr>
              <w:spacing w:after="0" w:line="240" w:lineRule="auto"/>
              <w:jc w:val="center"/>
              <w:rPr>
                <w:rFonts w:eastAsia="Times New Roman"/>
                <w:color w:val="000000"/>
                <w:sz w:val="18"/>
                <w:szCs w:val="18"/>
                <w:lang w:eastAsia="en-AU"/>
              </w:rPr>
            </w:pPr>
            <w:r w:rsidRPr="006E5F89">
              <w:rPr>
                <w:rFonts w:eastAsia="Times New Roman"/>
                <w:color w:val="000000"/>
                <w:sz w:val="18"/>
                <w:szCs w:val="18"/>
                <w:lang w:eastAsia="en-AU"/>
              </w:rPr>
              <w:t>-</w:t>
            </w:r>
          </w:p>
        </w:tc>
        <w:tc>
          <w:tcPr>
            <w:tcW w:w="566" w:type="pct"/>
            <w:tcBorders>
              <w:top w:val="single" w:sz="4" w:space="0" w:color="0093D0"/>
              <w:left w:val="nil"/>
              <w:bottom w:val="single" w:sz="4" w:space="0" w:color="0093D0"/>
              <w:right w:val="nil"/>
            </w:tcBorders>
            <w:shd w:val="clear" w:color="auto" w:fill="auto"/>
            <w:noWrap/>
            <w:vAlign w:val="center"/>
          </w:tcPr>
          <w:p w:rsidR="006E5F89" w:rsidRPr="006E5F89" w:rsidRDefault="006E5F89" w:rsidP="006E5F89">
            <w:pPr>
              <w:spacing w:after="0" w:line="240" w:lineRule="auto"/>
              <w:jc w:val="center"/>
              <w:rPr>
                <w:rFonts w:eastAsia="Times New Roman"/>
                <w:color w:val="000000"/>
                <w:sz w:val="18"/>
                <w:szCs w:val="18"/>
                <w:lang w:eastAsia="en-AU"/>
              </w:rPr>
            </w:pPr>
            <w:r w:rsidRPr="006E5F89">
              <w:rPr>
                <w:rFonts w:eastAsia="Times New Roman"/>
                <w:color w:val="000000"/>
                <w:sz w:val="18"/>
                <w:szCs w:val="18"/>
                <w:lang w:eastAsia="en-AU"/>
              </w:rPr>
              <w:t>-</w:t>
            </w:r>
          </w:p>
        </w:tc>
      </w:tr>
    </w:tbl>
    <w:p w:rsidR="00426980" w:rsidRDefault="006E38BE" w:rsidP="002D50B8">
      <w:pPr>
        <w:tabs>
          <w:tab w:val="center" w:pos="4252"/>
        </w:tabs>
        <w:spacing w:before="240" w:after="0"/>
        <w:rPr>
          <w:i/>
          <w:sz w:val="16"/>
        </w:rPr>
      </w:pPr>
      <w:r w:rsidRPr="00FB380F">
        <w:rPr>
          <w:b/>
          <w:i/>
          <w:sz w:val="16"/>
          <w:szCs w:val="16"/>
        </w:rPr>
        <w:t xml:space="preserve">Note: </w:t>
      </w:r>
      <w:r w:rsidR="00E33A05" w:rsidRPr="00FB380F">
        <w:rPr>
          <w:i/>
          <w:sz w:val="16"/>
          <w:szCs w:val="16"/>
        </w:rPr>
        <w:t>a. Data</w:t>
      </w:r>
      <w:r w:rsidR="00E33A05" w:rsidRPr="00FB380F">
        <w:rPr>
          <w:i/>
          <w:sz w:val="16"/>
        </w:rPr>
        <w:t xml:space="preserve"> is only available up to </w:t>
      </w:r>
      <w:r w:rsidR="00FB380F" w:rsidRPr="00FB380F">
        <w:rPr>
          <w:i/>
          <w:sz w:val="16"/>
        </w:rPr>
        <w:t>September</w:t>
      </w:r>
      <w:r w:rsidR="00E33A05" w:rsidRPr="00FB380F">
        <w:rPr>
          <w:i/>
          <w:sz w:val="16"/>
        </w:rPr>
        <w:t xml:space="preserve"> 2015 on the QLD Government website: </w:t>
      </w:r>
      <w:hyperlink r:id="rId129" w:history="1">
        <w:r w:rsidR="00E33A05" w:rsidRPr="00FB380F">
          <w:rPr>
            <w:rStyle w:val="Hyperlink"/>
            <w:i/>
            <w:sz w:val="16"/>
          </w:rPr>
          <w:t>https://www.dnrm.qld.gov.au/__data/assets/pdf_file/0008/293579/central-condamine-alluvium-water-licence-relocation-reports-to-30-june-2015.pdf</w:t>
        </w:r>
      </w:hyperlink>
      <w:r w:rsidR="00FB380F" w:rsidRPr="00FB380F">
        <w:rPr>
          <w:i/>
          <w:sz w:val="16"/>
        </w:rPr>
        <w:t xml:space="preserve"> (accessed 20 January </w:t>
      </w:r>
      <w:r w:rsidR="00E33A05" w:rsidRPr="00FB380F">
        <w:rPr>
          <w:i/>
          <w:sz w:val="16"/>
        </w:rPr>
        <w:t>201</w:t>
      </w:r>
      <w:r w:rsidR="00FB380F" w:rsidRPr="00FB380F">
        <w:rPr>
          <w:i/>
          <w:sz w:val="16"/>
        </w:rPr>
        <w:t>6</w:t>
      </w:r>
      <w:r w:rsidR="00E33A05" w:rsidRPr="00FB380F">
        <w:rPr>
          <w:i/>
          <w:sz w:val="16"/>
        </w:rPr>
        <w:t>)</w:t>
      </w:r>
      <w:r>
        <w:rPr>
          <w:i/>
          <w:sz w:val="16"/>
        </w:rPr>
        <w:br/>
      </w:r>
      <w:r w:rsidR="00594D18" w:rsidRPr="00074B0E">
        <w:rPr>
          <w:b/>
          <w:i/>
          <w:sz w:val="16"/>
          <w:szCs w:val="16"/>
        </w:rPr>
        <w:t xml:space="preserve">Data Sources: </w:t>
      </w:r>
      <w:r w:rsidR="009F20DE" w:rsidRPr="00074B0E">
        <w:rPr>
          <w:i/>
          <w:sz w:val="16"/>
          <w:szCs w:val="16"/>
        </w:rPr>
        <w:t>Queensland</w:t>
      </w:r>
      <w:r w:rsidR="009F20DE" w:rsidRPr="002D50B8">
        <w:rPr>
          <w:i/>
          <w:sz w:val="16"/>
        </w:rPr>
        <w:t xml:space="preserve"> Business and industry portal (</w:t>
      </w:r>
      <w:hyperlink r:id="rId130" w:history="1">
        <w:r w:rsidR="0066758D" w:rsidRPr="002D50B8">
          <w:rPr>
            <w:rStyle w:val="Hyperlink"/>
            <w:i/>
            <w:sz w:val="16"/>
          </w:rPr>
          <w:t>https://www.business.qld.gov.au/industry/water/managing-accessing/markets-trading/market-information</w:t>
        </w:r>
      </w:hyperlink>
      <w:r w:rsidR="009F20DE" w:rsidRPr="002D50B8">
        <w:rPr>
          <w:i/>
          <w:sz w:val="16"/>
        </w:rPr>
        <w:t>)</w:t>
      </w:r>
    </w:p>
    <w:p w:rsidR="00107BE6" w:rsidRDefault="00107BE6" w:rsidP="002D50B8">
      <w:pPr>
        <w:tabs>
          <w:tab w:val="center" w:pos="4252"/>
        </w:tabs>
        <w:spacing w:before="240" w:after="0"/>
        <w:rPr>
          <w:i/>
          <w:sz w:val="16"/>
        </w:rPr>
      </w:pPr>
    </w:p>
    <w:p w:rsidR="00BE63B0" w:rsidRDefault="00BE63B0" w:rsidP="00BE63B0">
      <w:pPr>
        <w:spacing w:after="0" w:line="240" w:lineRule="auto"/>
        <w:rPr>
          <w:rFonts w:ascii="Corbel" w:eastAsia="Times New Roman" w:hAnsi="Corbel"/>
          <w:color w:val="0093D0"/>
          <w:sz w:val="44"/>
        </w:rPr>
      </w:pPr>
      <w:r>
        <w:br w:type="page"/>
      </w:r>
    </w:p>
    <w:p w:rsidR="00BE63B0" w:rsidRDefault="00BE63B0" w:rsidP="00BE63B0">
      <w:pPr>
        <w:pStyle w:val="MJAheading1"/>
        <w:numPr>
          <w:ilvl w:val="0"/>
          <w:numId w:val="0"/>
        </w:numPr>
      </w:pPr>
      <w:bookmarkStart w:id="89" w:name="_Toc441834767"/>
      <w:r w:rsidRPr="004B53F5">
        <w:t>Appendix</w:t>
      </w:r>
      <w:r>
        <w:t xml:space="preserve"> 1</w:t>
      </w:r>
      <w:r w:rsidRPr="004B53F5">
        <w:t>:</w:t>
      </w:r>
      <w:r>
        <w:t xml:space="preserve"> </w:t>
      </w:r>
      <w:r w:rsidR="008749C2">
        <w:t>Regions</w:t>
      </w:r>
      <w:r>
        <w:t xml:space="preserve"> and water sources</w:t>
      </w:r>
      <w:bookmarkEnd w:id="89"/>
    </w:p>
    <w:p w:rsidR="00BE63B0" w:rsidRDefault="00BE63B0" w:rsidP="00BE63B0">
      <w:pPr>
        <w:pStyle w:val="Caption"/>
      </w:pPr>
      <w:r>
        <w:t xml:space="preserve">Table </w:t>
      </w:r>
      <w:r w:rsidR="00C23339">
        <w:fldChar w:fldCharType="begin"/>
      </w:r>
      <w:r w:rsidR="00134558">
        <w:instrText xml:space="preserve"> SEQ Table \* ARABIC </w:instrText>
      </w:r>
      <w:r w:rsidR="00C23339">
        <w:fldChar w:fldCharType="separate"/>
      </w:r>
      <w:r w:rsidR="00E00DC7">
        <w:rPr>
          <w:noProof/>
        </w:rPr>
        <w:t>25</w:t>
      </w:r>
      <w:r w:rsidR="00C23339">
        <w:rPr>
          <w:noProof/>
        </w:rPr>
        <w:fldChar w:fldCharType="end"/>
      </w:r>
      <w:r>
        <w:t>:</w:t>
      </w:r>
      <w:r w:rsidRPr="00504D65">
        <w:t xml:space="preserve"> Water </w:t>
      </w:r>
      <w:r>
        <w:t>Sources (Southern MDB)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6"/>
        <w:gridCol w:w="6909"/>
      </w:tblGrid>
      <w:tr w:rsidR="00BE63B0" w:rsidRPr="00F75DB0" w:rsidTr="00C34A8E">
        <w:tc>
          <w:tcPr>
            <w:tcW w:w="2360" w:type="pct"/>
            <w:tcBorders>
              <w:top w:val="nil"/>
              <w:left w:val="nil"/>
              <w:bottom w:val="single" w:sz="4" w:space="0" w:color="FFFFFF" w:themeColor="background1"/>
              <w:right w:val="single" w:sz="4" w:space="0" w:color="FFFFFF" w:themeColor="background1"/>
            </w:tcBorders>
            <w:shd w:val="clear" w:color="auto" w:fill="0093D0"/>
            <w:vAlign w:val="center"/>
          </w:tcPr>
          <w:p w:rsidR="00BE63B0" w:rsidRPr="00F75DB0" w:rsidRDefault="00BE63B0" w:rsidP="003D5F89">
            <w:pPr>
              <w:spacing w:before="40" w:after="40" w:line="240" w:lineRule="auto"/>
              <w:rPr>
                <w:rFonts w:cs="Arial"/>
                <w:b/>
                <w:color w:val="FFFFFF"/>
                <w:sz w:val="20"/>
                <w:szCs w:val="20"/>
              </w:rPr>
            </w:pPr>
            <w:r w:rsidRPr="00F75DB0">
              <w:rPr>
                <w:rFonts w:cs="Arial"/>
                <w:b/>
                <w:color w:val="FFFFFF"/>
                <w:sz w:val="20"/>
                <w:szCs w:val="20"/>
              </w:rPr>
              <w:t>Region</w:t>
            </w:r>
          </w:p>
        </w:tc>
        <w:tc>
          <w:tcPr>
            <w:tcW w:w="2640" w:type="pct"/>
            <w:tcBorders>
              <w:top w:val="nil"/>
              <w:left w:val="single" w:sz="4" w:space="0" w:color="FFFFFF" w:themeColor="background1"/>
              <w:bottom w:val="single" w:sz="4" w:space="0" w:color="FFFFFF" w:themeColor="background1"/>
              <w:right w:val="nil"/>
            </w:tcBorders>
            <w:shd w:val="clear" w:color="auto" w:fill="0093D0"/>
            <w:vAlign w:val="center"/>
          </w:tcPr>
          <w:p w:rsidR="00BE63B0" w:rsidRPr="00F75DB0" w:rsidRDefault="00BE63B0" w:rsidP="003D5F89">
            <w:pPr>
              <w:spacing w:before="40" w:after="40" w:line="240" w:lineRule="auto"/>
              <w:rPr>
                <w:rFonts w:cs="Arial"/>
                <w:b/>
                <w:color w:val="FFFFFF"/>
                <w:sz w:val="20"/>
                <w:szCs w:val="20"/>
              </w:rPr>
            </w:pPr>
            <w:r>
              <w:rPr>
                <w:rFonts w:cs="Arial"/>
                <w:b/>
                <w:color w:val="FFFFFF"/>
                <w:sz w:val="20"/>
                <w:szCs w:val="20"/>
              </w:rPr>
              <w:t>Water Source</w:t>
            </w:r>
          </w:p>
        </w:tc>
      </w:tr>
      <w:tr w:rsidR="00BE63B0" w:rsidRPr="00F75DB0" w:rsidTr="00C34A8E">
        <w:tc>
          <w:tcPr>
            <w:tcW w:w="2360" w:type="pct"/>
            <w:tcBorders>
              <w:top w:val="single" w:sz="4" w:space="0" w:color="FFFFFF" w:themeColor="background1"/>
              <w:left w:val="nil"/>
              <w:bottom w:val="single" w:sz="4" w:space="0" w:color="0093D0"/>
              <w:right w:val="single" w:sz="4" w:space="0" w:color="0093D0"/>
            </w:tcBorders>
            <w:vAlign w:val="center"/>
          </w:tcPr>
          <w:p w:rsidR="00BE63B0" w:rsidRPr="00F75DB0" w:rsidRDefault="00BE63B0" w:rsidP="003D5F89">
            <w:pPr>
              <w:spacing w:before="20" w:after="20" w:line="240" w:lineRule="auto"/>
              <w:rPr>
                <w:rFonts w:cs="Arial"/>
                <w:b/>
                <w:sz w:val="18"/>
                <w:szCs w:val="18"/>
              </w:rPr>
            </w:pPr>
            <w:r w:rsidRPr="00F75DB0">
              <w:rPr>
                <w:rFonts w:cs="Arial"/>
                <w:b/>
                <w:sz w:val="18"/>
                <w:szCs w:val="18"/>
              </w:rPr>
              <w:t>SA Murray</w:t>
            </w:r>
          </w:p>
        </w:tc>
        <w:tc>
          <w:tcPr>
            <w:tcW w:w="2640" w:type="pct"/>
            <w:tcBorders>
              <w:top w:val="single" w:sz="4" w:space="0" w:color="FFFFFF" w:themeColor="background1"/>
              <w:left w:val="single" w:sz="4" w:space="0" w:color="0093D0"/>
              <w:bottom w:val="single" w:sz="4" w:space="0" w:color="0093D0"/>
              <w:right w:val="nil"/>
            </w:tcBorders>
            <w:vAlign w:val="center"/>
          </w:tcPr>
          <w:p w:rsidR="00BE63B0" w:rsidRPr="00F75DB0" w:rsidRDefault="00BE63B0" w:rsidP="003D5F89">
            <w:pPr>
              <w:spacing w:before="20" w:after="20" w:line="240" w:lineRule="auto"/>
              <w:rPr>
                <w:rFonts w:cs="Arial"/>
                <w:sz w:val="18"/>
                <w:szCs w:val="18"/>
              </w:rPr>
            </w:pPr>
            <w:r>
              <w:rPr>
                <w:rFonts w:cs="Arial"/>
                <w:sz w:val="18"/>
                <w:szCs w:val="18"/>
              </w:rPr>
              <w:t>River Murray Prescribed Water Course</w:t>
            </w:r>
            <w:r w:rsidR="00D14452">
              <w:rPr>
                <w:rFonts w:cs="Arial"/>
                <w:sz w:val="18"/>
                <w:szCs w:val="18"/>
              </w:rPr>
              <w:t xml:space="preserve"> (Class 3a</w:t>
            </w:r>
            <w:r w:rsidR="00F017A4">
              <w:rPr>
                <w:rFonts w:cs="Arial"/>
                <w:sz w:val="18"/>
                <w:szCs w:val="18"/>
              </w:rPr>
              <w:t>)</w:t>
            </w:r>
          </w:p>
        </w:tc>
      </w:tr>
      <w:tr w:rsidR="00BE63B0" w:rsidRPr="00F75DB0" w:rsidTr="00C34A8E">
        <w:tc>
          <w:tcPr>
            <w:tcW w:w="2360" w:type="pct"/>
            <w:tcBorders>
              <w:top w:val="single" w:sz="4" w:space="0" w:color="0093D0"/>
              <w:left w:val="nil"/>
              <w:bottom w:val="single" w:sz="4" w:space="0" w:color="0093D0"/>
              <w:right w:val="single" w:sz="4" w:space="0" w:color="0093D0"/>
            </w:tcBorders>
            <w:vAlign w:val="center"/>
          </w:tcPr>
          <w:p w:rsidR="00BE63B0" w:rsidRPr="00F75DB0" w:rsidRDefault="00BE63B0" w:rsidP="003D5F89">
            <w:pPr>
              <w:spacing w:before="20" w:after="20" w:line="240" w:lineRule="auto"/>
              <w:rPr>
                <w:rFonts w:cs="Arial"/>
                <w:b/>
                <w:sz w:val="18"/>
                <w:szCs w:val="18"/>
              </w:rPr>
            </w:pPr>
            <w:r w:rsidRPr="00F75DB0">
              <w:rPr>
                <w:rFonts w:cs="Arial"/>
                <w:b/>
                <w:sz w:val="18"/>
                <w:szCs w:val="18"/>
              </w:rPr>
              <w:t>VIC Murray above Barmah Choke</w:t>
            </w:r>
          </w:p>
        </w:tc>
        <w:tc>
          <w:tcPr>
            <w:tcW w:w="2640" w:type="pct"/>
            <w:tcBorders>
              <w:top w:val="single" w:sz="4" w:space="0" w:color="0093D0"/>
              <w:left w:val="single" w:sz="4" w:space="0" w:color="0093D0"/>
              <w:bottom w:val="single" w:sz="4" w:space="0" w:color="0093D0"/>
              <w:right w:val="nil"/>
            </w:tcBorders>
            <w:vAlign w:val="center"/>
          </w:tcPr>
          <w:p w:rsidR="00BE63B0" w:rsidRPr="00F75DB0" w:rsidRDefault="00BE63B0" w:rsidP="003D5F89">
            <w:pPr>
              <w:spacing w:before="20" w:after="20" w:line="240" w:lineRule="auto"/>
              <w:rPr>
                <w:rFonts w:cs="Arial"/>
                <w:sz w:val="18"/>
                <w:szCs w:val="18"/>
              </w:rPr>
            </w:pPr>
            <w:r w:rsidRPr="00F84B1E">
              <w:rPr>
                <w:rFonts w:cs="Arial"/>
                <w:sz w:val="18"/>
                <w:szCs w:val="18"/>
              </w:rPr>
              <w:t>6 Vic Murray Dart to Barmah</w:t>
            </w:r>
          </w:p>
        </w:tc>
      </w:tr>
      <w:tr w:rsidR="00BE63B0" w:rsidRPr="00F75DB0" w:rsidTr="00C34A8E">
        <w:tc>
          <w:tcPr>
            <w:tcW w:w="2360" w:type="pct"/>
            <w:tcBorders>
              <w:top w:val="single" w:sz="4" w:space="0" w:color="0093D0"/>
              <w:left w:val="nil"/>
              <w:bottom w:val="single" w:sz="4" w:space="0" w:color="0093D0"/>
              <w:right w:val="single" w:sz="4" w:space="0" w:color="0093D0"/>
            </w:tcBorders>
            <w:vAlign w:val="center"/>
          </w:tcPr>
          <w:p w:rsidR="00BE63B0" w:rsidRPr="00F75DB0" w:rsidRDefault="00BE63B0" w:rsidP="003D5F89">
            <w:pPr>
              <w:spacing w:before="20" w:after="20" w:line="240" w:lineRule="auto"/>
              <w:rPr>
                <w:rFonts w:cs="Arial"/>
                <w:b/>
                <w:sz w:val="18"/>
                <w:szCs w:val="18"/>
              </w:rPr>
            </w:pPr>
            <w:r w:rsidRPr="00F75DB0">
              <w:rPr>
                <w:rFonts w:cs="Arial"/>
                <w:b/>
                <w:sz w:val="18"/>
                <w:szCs w:val="18"/>
              </w:rPr>
              <w:t>Vic Murray below Barmah Choke</w:t>
            </w:r>
          </w:p>
        </w:tc>
        <w:tc>
          <w:tcPr>
            <w:tcW w:w="2640" w:type="pct"/>
            <w:tcBorders>
              <w:top w:val="single" w:sz="4" w:space="0" w:color="0093D0"/>
              <w:left w:val="single" w:sz="4" w:space="0" w:color="0093D0"/>
              <w:bottom w:val="single" w:sz="4" w:space="0" w:color="0093D0"/>
              <w:right w:val="nil"/>
            </w:tcBorders>
            <w:vAlign w:val="center"/>
          </w:tcPr>
          <w:p w:rsidR="00BE63B0" w:rsidRPr="00F84B1E" w:rsidRDefault="00BE63B0" w:rsidP="003D5F89">
            <w:pPr>
              <w:spacing w:before="20" w:after="20" w:line="240" w:lineRule="auto"/>
              <w:rPr>
                <w:rFonts w:asciiTheme="minorHAnsi" w:eastAsiaTheme="minorHAnsi" w:hAnsiTheme="minorHAnsi" w:cs="Arial"/>
                <w:sz w:val="18"/>
                <w:szCs w:val="18"/>
              </w:rPr>
            </w:pPr>
            <w:r w:rsidRPr="00F84B1E">
              <w:rPr>
                <w:rFonts w:cs="Arial"/>
                <w:sz w:val="18"/>
                <w:szCs w:val="18"/>
              </w:rPr>
              <w:t>7 Vic Murray Barmah to SA</w:t>
            </w:r>
            <w:r w:rsidRPr="00F84B1E">
              <w:rPr>
                <w:rFonts w:asciiTheme="minorHAnsi" w:hAnsiTheme="minorHAnsi" w:cs="Arial"/>
                <w:sz w:val="18"/>
                <w:szCs w:val="18"/>
              </w:rPr>
              <w:t xml:space="preserve"> </w:t>
            </w:r>
          </w:p>
          <w:p w:rsidR="00BE63B0" w:rsidRPr="00F75DB0" w:rsidRDefault="00BE63B0" w:rsidP="003D5F89">
            <w:pPr>
              <w:spacing w:before="20" w:after="20" w:line="240" w:lineRule="auto"/>
              <w:rPr>
                <w:rFonts w:cs="Arial"/>
                <w:sz w:val="18"/>
                <w:szCs w:val="18"/>
              </w:rPr>
            </w:pPr>
            <w:r w:rsidRPr="00F84B1E">
              <w:rPr>
                <w:rFonts w:cs="Arial"/>
                <w:sz w:val="18"/>
                <w:szCs w:val="18"/>
              </w:rPr>
              <w:t>6B Lower Broken Creek</w:t>
            </w:r>
          </w:p>
        </w:tc>
      </w:tr>
      <w:tr w:rsidR="00BE63B0" w:rsidRPr="00F75DB0" w:rsidTr="00C34A8E">
        <w:tc>
          <w:tcPr>
            <w:tcW w:w="2360" w:type="pct"/>
            <w:tcBorders>
              <w:top w:val="single" w:sz="4" w:space="0" w:color="0093D0"/>
              <w:left w:val="nil"/>
              <w:bottom w:val="single" w:sz="4" w:space="0" w:color="0093D0"/>
              <w:right w:val="single" w:sz="4" w:space="0" w:color="0093D0"/>
            </w:tcBorders>
            <w:vAlign w:val="center"/>
          </w:tcPr>
          <w:p w:rsidR="00BE63B0" w:rsidRPr="00F75DB0" w:rsidRDefault="00BE63B0" w:rsidP="003D5F89">
            <w:pPr>
              <w:spacing w:before="20" w:after="20" w:line="240" w:lineRule="auto"/>
              <w:rPr>
                <w:rFonts w:cs="Arial"/>
                <w:b/>
                <w:sz w:val="18"/>
                <w:szCs w:val="18"/>
              </w:rPr>
            </w:pPr>
            <w:r w:rsidRPr="00F75DB0">
              <w:rPr>
                <w:rFonts w:cs="Arial"/>
                <w:b/>
                <w:sz w:val="18"/>
                <w:szCs w:val="18"/>
              </w:rPr>
              <w:t>Goulburn</w:t>
            </w:r>
          </w:p>
        </w:tc>
        <w:tc>
          <w:tcPr>
            <w:tcW w:w="2640" w:type="pct"/>
            <w:tcBorders>
              <w:top w:val="single" w:sz="4" w:space="0" w:color="0093D0"/>
              <w:left w:val="single" w:sz="4" w:space="0" w:color="0093D0"/>
              <w:bottom w:val="single" w:sz="4" w:space="0" w:color="0093D0"/>
              <w:right w:val="nil"/>
            </w:tcBorders>
            <w:vAlign w:val="center"/>
          </w:tcPr>
          <w:p w:rsidR="00BE63B0" w:rsidRPr="006E3728" w:rsidRDefault="00BE63B0" w:rsidP="003D5F89">
            <w:pPr>
              <w:spacing w:before="20" w:after="20" w:line="240" w:lineRule="auto"/>
              <w:rPr>
                <w:rFonts w:asciiTheme="minorHAnsi" w:eastAsiaTheme="minorHAnsi" w:hAnsiTheme="minorHAnsi" w:cs="Arial"/>
                <w:sz w:val="18"/>
                <w:szCs w:val="18"/>
              </w:rPr>
            </w:pPr>
            <w:r w:rsidRPr="006E3728">
              <w:rPr>
                <w:rFonts w:cs="Arial"/>
                <w:sz w:val="18"/>
                <w:szCs w:val="18"/>
              </w:rPr>
              <w:t>1A Greater Goulburn</w:t>
            </w:r>
            <w:r w:rsidRPr="006E3728">
              <w:rPr>
                <w:rFonts w:asciiTheme="minorHAnsi" w:hAnsiTheme="minorHAnsi" w:cs="Arial"/>
                <w:sz w:val="18"/>
                <w:szCs w:val="18"/>
              </w:rPr>
              <w:t xml:space="preserve"> </w:t>
            </w:r>
          </w:p>
          <w:p w:rsidR="00BE63B0" w:rsidRPr="006E3728" w:rsidRDefault="00BE63B0" w:rsidP="003D5F89">
            <w:pPr>
              <w:spacing w:before="20" w:after="20" w:line="240" w:lineRule="auto"/>
              <w:rPr>
                <w:rFonts w:cs="Arial"/>
                <w:sz w:val="18"/>
                <w:szCs w:val="18"/>
              </w:rPr>
            </w:pPr>
            <w:r w:rsidRPr="006E3728">
              <w:rPr>
                <w:rFonts w:cs="Arial"/>
                <w:sz w:val="18"/>
                <w:szCs w:val="18"/>
              </w:rPr>
              <w:t xml:space="preserve">1B Boort </w:t>
            </w:r>
          </w:p>
          <w:p w:rsidR="00BE63B0" w:rsidRPr="00F75DB0" w:rsidRDefault="00BE63B0" w:rsidP="003D5F89">
            <w:pPr>
              <w:spacing w:before="20" w:after="20" w:line="240" w:lineRule="auto"/>
              <w:rPr>
                <w:rFonts w:cs="Arial"/>
                <w:sz w:val="18"/>
                <w:szCs w:val="18"/>
              </w:rPr>
            </w:pPr>
            <w:r w:rsidRPr="006E3728">
              <w:rPr>
                <w:rFonts w:cs="Arial"/>
                <w:sz w:val="18"/>
                <w:szCs w:val="18"/>
              </w:rPr>
              <w:t>3 Lowe</w:t>
            </w:r>
            <w:r>
              <w:rPr>
                <w:rFonts w:cs="Arial"/>
                <w:sz w:val="18"/>
                <w:szCs w:val="18"/>
              </w:rPr>
              <w:t>r</w:t>
            </w:r>
            <w:r w:rsidRPr="006E3728">
              <w:rPr>
                <w:rFonts w:cs="Arial"/>
                <w:sz w:val="18"/>
                <w:szCs w:val="18"/>
              </w:rPr>
              <w:t xml:space="preserve"> Goulburn</w:t>
            </w:r>
          </w:p>
        </w:tc>
      </w:tr>
      <w:tr w:rsidR="00BE63B0" w:rsidRPr="00F75DB0" w:rsidTr="00C34A8E">
        <w:tc>
          <w:tcPr>
            <w:tcW w:w="2360" w:type="pct"/>
            <w:tcBorders>
              <w:top w:val="single" w:sz="4" w:space="0" w:color="0093D0"/>
              <w:left w:val="nil"/>
              <w:bottom w:val="single" w:sz="4" w:space="0" w:color="0093D0"/>
              <w:right w:val="single" w:sz="4" w:space="0" w:color="0093D0"/>
            </w:tcBorders>
            <w:vAlign w:val="center"/>
          </w:tcPr>
          <w:p w:rsidR="00BE63B0" w:rsidRPr="00F75DB0" w:rsidRDefault="00BE63B0" w:rsidP="003D5F89">
            <w:pPr>
              <w:spacing w:before="20" w:after="20" w:line="240" w:lineRule="auto"/>
              <w:rPr>
                <w:rFonts w:cs="Arial"/>
                <w:b/>
                <w:sz w:val="18"/>
                <w:szCs w:val="18"/>
              </w:rPr>
            </w:pPr>
            <w:r w:rsidRPr="00F75DB0">
              <w:rPr>
                <w:rFonts w:cs="Arial"/>
                <w:b/>
                <w:sz w:val="18"/>
                <w:szCs w:val="18"/>
              </w:rPr>
              <w:t>Campaspe</w:t>
            </w:r>
          </w:p>
        </w:tc>
        <w:tc>
          <w:tcPr>
            <w:tcW w:w="2640" w:type="pct"/>
            <w:tcBorders>
              <w:top w:val="single" w:sz="4" w:space="0" w:color="0093D0"/>
              <w:left w:val="single" w:sz="4" w:space="0" w:color="0093D0"/>
              <w:bottom w:val="single" w:sz="4" w:space="0" w:color="0093D0"/>
              <w:right w:val="nil"/>
            </w:tcBorders>
            <w:vAlign w:val="center"/>
          </w:tcPr>
          <w:p w:rsidR="00BE63B0" w:rsidRPr="00F84B1E" w:rsidRDefault="00BE63B0" w:rsidP="003D5F89">
            <w:pPr>
              <w:spacing w:before="20" w:after="20" w:line="240" w:lineRule="auto"/>
              <w:rPr>
                <w:rFonts w:asciiTheme="minorHAnsi" w:eastAsiaTheme="minorHAnsi" w:hAnsiTheme="minorHAnsi" w:cs="Arial"/>
                <w:sz w:val="18"/>
                <w:szCs w:val="18"/>
              </w:rPr>
            </w:pPr>
            <w:r w:rsidRPr="00F84B1E">
              <w:rPr>
                <w:rFonts w:cs="Arial"/>
                <w:sz w:val="18"/>
                <w:szCs w:val="18"/>
              </w:rPr>
              <w:t xml:space="preserve">4A Campaspe Eppalock to WWC </w:t>
            </w:r>
          </w:p>
          <w:p w:rsidR="00BE63B0" w:rsidRPr="00F75DB0" w:rsidRDefault="00BE63B0" w:rsidP="003D5F89">
            <w:pPr>
              <w:spacing w:before="20" w:after="20" w:line="240" w:lineRule="auto"/>
              <w:rPr>
                <w:rFonts w:cs="Arial"/>
                <w:sz w:val="18"/>
                <w:szCs w:val="18"/>
              </w:rPr>
            </w:pPr>
            <w:r w:rsidRPr="00F84B1E">
              <w:rPr>
                <w:rFonts w:cs="Arial"/>
                <w:sz w:val="18"/>
                <w:szCs w:val="18"/>
              </w:rPr>
              <w:t>4C Lower Campaspe</w:t>
            </w:r>
          </w:p>
        </w:tc>
      </w:tr>
      <w:tr w:rsidR="00BE63B0" w:rsidRPr="00F75DB0" w:rsidTr="00C34A8E">
        <w:tc>
          <w:tcPr>
            <w:tcW w:w="2360" w:type="pct"/>
            <w:tcBorders>
              <w:top w:val="single" w:sz="4" w:space="0" w:color="0093D0"/>
              <w:left w:val="nil"/>
              <w:bottom w:val="single" w:sz="4" w:space="0" w:color="0093D0"/>
              <w:right w:val="single" w:sz="4" w:space="0" w:color="0093D0"/>
            </w:tcBorders>
            <w:vAlign w:val="center"/>
          </w:tcPr>
          <w:p w:rsidR="00BE63B0" w:rsidRPr="00F75DB0" w:rsidRDefault="00BE63B0" w:rsidP="003D5F89">
            <w:pPr>
              <w:spacing w:before="20" w:after="20" w:line="240" w:lineRule="auto"/>
              <w:rPr>
                <w:rFonts w:cs="Arial"/>
                <w:b/>
                <w:sz w:val="18"/>
                <w:szCs w:val="18"/>
              </w:rPr>
            </w:pPr>
            <w:r w:rsidRPr="00F75DB0">
              <w:rPr>
                <w:rFonts w:cs="Arial"/>
                <w:b/>
                <w:sz w:val="18"/>
                <w:szCs w:val="18"/>
              </w:rPr>
              <w:t>Loddon</w:t>
            </w:r>
          </w:p>
        </w:tc>
        <w:tc>
          <w:tcPr>
            <w:tcW w:w="2640" w:type="pct"/>
            <w:tcBorders>
              <w:top w:val="single" w:sz="4" w:space="0" w:color="0093D0"/>
              <w:left w:val="single" w:sz="4" w:space="0" w:color="0093D0"/>
              <w:bottom w:val="single" w:sz="4" w:space="0" w:color="0093D0"/>
              <w:right w:val="nil"/>
            </w:tcBorders>
            <w:vAlign w:val="center"/>
          </w:tcPr>
          <w:p w:rsidR="00BE63B0" w:rsidRPr="00F84B1E" w:rsidRDefault="00BE63B0" w:rsidP="003D5F89">
            <w:pPr>
              <w:spacing w:before="20" w:after="20" w:line="240" w:lineRule="auto"/>
              <w:rPr>
                <w:rFonts w:cs="Arial"/>
                <w:sz w:val="18"/>
                <w:szCs w:val="18"/>
              </w:rPr>
            </w:pPr>
            <w:r w:rsidRPr="00F84B1E">
              <w:rPr>
                <w:rFonts w:cs="Arial"/>
                <w:sz w:val="18"/>
                <w:szCs w:val="18"/>
              </w:rPr>
              <w:t xml:space="preserve">5A Loddon – </w:t>
            </w:r>
            <w:proofErr w:type="spellStart"/>
            <w:r w:rsidRPr="00F84B1E">
              <w:rPr>
                <w:rFonts w:cs="Arial"/>
                <w:sz w:val="18"/>
                <w:szCs w:val="18"/>
              </w:rPr>
              <w:t>Coliban</w:t>
            </w:r>
            <w:proofErr w:type="spellEnd"/>
            <w:r w:rsidRPr="00F84B1E">
              <w:rPr>
                <w:rFonts w:cs="Arial"/>
                <w:sz w:val="18"/>
                <w:szCs w:val="18"/>
              </w:rPr>
              <w:t xml:space="preserve"> Channel to Lower Weir Pool</w:t>
            </w:r>
            <w:r w:rsidRPr="00F84B1E">
              <w:rPr>
                <w:rFonts w:asciiTheme="minorHAnsi" w:hAnsiTheme="minorHAnsi" w:cs="Arial"/>
                <w:sz w:val="18"/>
                <w:szCs w:val="18"/>
              </w:rPr>
              <w:t xml:space="preserve"> </w:t>
            </w:r>
            <w:r w:rsidR="00752C85">
              <w:rPr>
                <w:rFonts w:asciiTheme="minorHAnsi" w:hAnsiTheme="minorHAnsi" w:cs="Arial"/>
                <w:sz w:val="18"/>
                <w:szCs w:val="18"/>
              </w:rPr>
              <w:t>(now</w:t>
            </w:r>
            <w:r w:rsidR="00752C85">
              <w:t xml:space="preserve"> </w:t>
            </w:r>
            <w:r w:rsidR="00752C85" w:rsidRPr="00752C85">
              <w:rPr>
                <w:rFonts w:asciiTheme="minorHAnsi" w:hAnsiTheme="minorHAnsi" w:cs="Arial"/>
                <w:sz w:val="18"/>
                <w:szCs w:val="18"/>
              </w:rPr>
              <w:t>5A Loddon - CC/</w:t>
            </w:r>
            <w:proofErr w:type="spellStart"/>
            <w:r w:rsidR="00752C85" w:rsidRPr="00752C85">
              <w:rPr>
                <w:rFonts w:asciiTheme="minorHAnsi" w:hAnsiTheme="minorHAnsi" w:cs="Arial"/>
                <w:sz w:val="18"/>
                <w:szCs w:val="18"/>
              </w:rPr>
              <w:t>Tull</w:t>
            </w:r>
            <w:proofErr w:type="spellEnd"/>
            <w:r w:rsidR="00752C85" w:rsidRPr="00752C85">
              <w:rPr>
                <w:rFonts w:asciiTheme="minorHAnsi" w:hAnsiTheme="minorHAnsi" w:cs="Arial"/>
                <w:sz w:val="18"/>
                <w:szCs w:val="18"/>
              </w:rPr>
              <w:t xml:space="preserve"> to LWP</w:t>
            </w:r>
            <w:r w:rsidR="00752C85">
              <w:rPr>
                <w:rFonts w:asciiTheme="minorHAnsi" w:hAnsiTheme="minorHAnsi" w:cs="Arial"/>
                <w:sz w:val="18"/>
                <w:szCs w:val="18"/>
              </w:rPr>
              <w:t>)</w:t>
            </w:r>
          </w:p>
          <w:p w:rsidR="00BE63B0" w:rsidRPr="00F75DB0" w:rsidRDefault="00BE63B0" w:rsidP="003D5F89">
            <w:pPr>
              <w:spacing w:before="20" w:after="20" w:line="240" w:lineRule="auto"/>
              <w:rPr>
                <w:rFonts w:cs="Arial"/>
                <w:sz w:val="18"/>
                <w:szCs w:val="18"/>
              </w:rPr>
            </w:pPr>
            <w:r w:rsidRPr="00F84B1E">
              <w:rPr>
                <w:rFonts w:cs="Arial"/>
                <w:sz w:val="18"/>
                <w:szCs w:val="18"/>
              </w:rPr>
              <w:t>5B Bullarook</w:t>
            </w:r>
          </w:p>
        </w:tc>
      </w:tr>
      <w:tr w:rsidR="00BE63B0" w:rsidRPr="00F75DB0" w:rsidTr="00C34A8E">
        <w:tc>
          <w:tcPr>
            <w:tcW w:w="2360" w:type="pct"/>
            <w:tcBorders>
              <w:top w:val="single" w:sz="4" w:space="0" w:color="0093D0"/>
              <w:left w:val="nil"/>
              <w:bottom w:val="single" w:sz="4" w:space="0" w:color="0093D0"/>
              <w:right w:val="single" w:sz="4" w:space="0" w:color="0093D0"/>
            </w:tcBorders>
            <w:vAlign w:val="center"/>
          </w:tcPr>
          <w:p w:rsidR="00BE63B0" w:rsidRPr="00F75DB0" w:rsidRDefault="00BE63B0" w:rsidP="003D5F89">
            <w:pPr>
              <w:spacing w:before="20" w:after="20" w:line="240" w:lineRule="auto"/>
              <w:rPr>
                <w:rFonts w:cs="Arial"/>
                <w:b/>
                <w:sz w:val="18"/>
                <w:szCs w:val="18"/>
              </w:rPr>
            </w:pPr>
            <w:r w:rsidRPr="00F75DB0">
              <w:rPr>
                <w:rFonts w:cs="Arial"/>
                <w:b/>
                <w:sz w:val="18"/>
                <w:szCs w:val="18"/>
              </w:rPr>
              <w:t>NSW Murray</w:t>
            </w:r>
          </w:p>
        </w:tc>
        <w:tc>
          <w:tcPr>
            <w:tcW w:w="2640" w:type="pct"/>
            <w:tcBorders>
              <w:top w:val="single" w:sz="4" w:space="0" w:color="0093D0"/>
              <w:left w:val="single" w:sz="4" w:space="0" w:color="0093D0"/>
              <w:bottom w:val="single" w:sz="4" w:space="0" w:color="0093D0"/>
              <w:right w:val="nil"/>
            </w:tcBorders>
            <w:vAlign w:val="center"/>
          </w:tcPr>
          <w:p w:rsidR="00BE63B0" w:rsidRPr="00F75DB0" w:rsidRDefault="00BE63B0" w:rsidP="003D5F89">
            <w:pPr>
              <w:spacing w:before="20" w:after="20" w:line="240" w:lineRule="auto"/>
              <w:rPr>
                <w:rFonts w:cs="Arial"/>
                <w:sz w:val="18"/>
                <w:szCs w:val="18"/>
              </w:rPr>
            </w:pPr>
            <w:r w:rsidRPr="004A573E">
              <w:rPr>
                <w:rFonts w:cs="Arial"/>
                <w:sz w:val="18"/>
                <w:szCs w:val="18"/>
              </w:rPr>
              <w:t>New South Wales Murray Regulated River Water Source</w:t>
            </w:r>
          </w:p>
        </w:tc>
      </w:tr>
      <w:tr w:rsidR="00BE63B0" w:rsidRPr="00F75DB0" w:rsidTr="00C34A8E">
        <w:tc>
          <w:tcPr>
            <w:tcW w:w="2360" w:type="pct"/>
            <w:tcBorders>
              <w:top w:val="single" w:sz="4" w:space="0" w:color="0093D0"/>
              <w:left w:val="nil"/>
              <w:bottom w:val="single" w:sz="4" w:space="0" w:color="0093D0"/>
              <w:right w:val="single" w:sz="4" w:space="0" w:color="0093D0"/>
            </w:tcBorders>
            <w:vAlign w:val="center"/>
          </w:tcPr>
          <w:p w:rsidR="00BE63B0" w:rsidRPr="00F75DB0" w:rsidRDefault="00BE63B0" w:rsidP="003D5F89">
            <w:pPr>
              <w:spacing w:before="20" w:after="20" w:line="240" w:lineRule="auto"/>
              <w:rPr>
                <w:rFonts w:cs="Arial"/>
                <w:b/>
                <w:sz w:val="18"/>
                <w:szCs w:val="18"/>
              </w:rPr>
            </w:pPr>
            <w:r w:rsidRPr="00F75DB0">
              <w:rPr>
                <w:rFonts w:cs="Arial"/>
                <w:b/>
                <w:sz w:val="18"/>
                <w:szCs w:val="18"/>
              </w:rPr>
              <w:t>Murrumbidgee</w:t>
            </w:r>
          </w:p>
        </w:tc>
        <w:tc>
          <w:tcPr>
            <w:tcW w:w="2640" w:type="pct"/>
            <w:tcBorders>
              <w:top w:val="single" w:sz="4" w:space="0" w:color="0093D0"/>
              <w:left w:val="single" w:sz="4" w:space="0" w:color="0093D0"/>
              <w:bottom w:val="single" w:sz="4" w:space="0" w:color="0093D0"/>
              <w:right w:val="nil"/>
            </w:tcBorders>
            <w:vAlign w:val="center"/>
          </w:tcPr>
          <w:p w:rsidR="00BE63B0" w:rsidRPr="00F75DB0" w:rsidRDefault="00BE63B0" w:rsidP="003D5F89">
            <w:pPr>
              <w:spacing w:before="20" w:after="20" w:line="240" w:lineRule="auto"/>
              <w:rPr>
                <w:rFonts w:cs="Arial"/>
                <w:sz w:val="18"/>
                <w:szCs w:val="18"/>
              </w:rPr>
            </w:pPr>
            <w:r w:rsidRPr="004A573E">
              <w:rPr>
                <w:rFonts w:cs="Arial"/>
                <w:sz w:val="18"/>
                <w:szCs w:val="18"/>
              </w:rPr>
              <w:t>Murrumbidgee Regulated River Water Source</w:t>
            </w:r>
          </w:p>
        </w:tc>
      </w:tr>
      <w:tr w:rsidR="00BE63B0" w:rsidRPr="00F75DB0" w:rsidTr="00C34A8E">
        <w:tc>
          <w:tcPr>
            <w:tcW w:w="2360" w:type="pct"/>
            <w:tcBorders>
              <w:top w:val="single" w:sz="4" w:space="0" w:color="0093D0"/>
              <w:left w:val="nil"/>
              <w:bottom w:val="single" w:sz="4" w:space="0" w:color="0093D0"/>
              <w:right w:val="single" w:sz="4" w:space="0" w:color="0093D0"/>
            </w:tcBorders>
            <w:vAlign w:val="center"/>
          </w:tcPr>
          <w:p w:rsidR="00BE63B0" w:rsidRPr="00F75DB0" w:rsidRDefault="00BE63B0" w:rsidP="003D5F89">
            <w:pPr>
              <w:spacing w:before="20" w:after="20" w:line="240" w:lineRule="auto"/>
              <w:rPr>
                <w:rFonts w:cs="Arial"/>
                <w:b/>
                <w:sz w:val="18"/>
                <w:szCs w:val="18"/>
              </w:rPr>
            </w:pPr>
            <w:r w:rsidRPr="00F75DB0">
              <w:rPr>
                <w:rFonts w:cs="Arial"/>
                <w:b/>
                <w:sz w:val="18"/>
                <w:szCs w:val="18"/>
              </w:rPr>
              <w:t>Lower Darling</w:t>
            </w:r>
          </w:p>
        </w:tc>
        <w:tc>
          <w:tcPr>
            <w:tcW w:w="2640" w:type="pct"/>
            <w:tcBorders>
              <w:top w:val="single" w:sz="4" w:space="0" w:color="0093D0"/>
              <w:left w:val="single" w:sz="4" w:space="0" w:color="0093D0"/>
              <w:bottom w:val="single" w:sz="4" w:space="0" w:color="0093D0"/>
              <w:right w:val="nil"/>
            </w:tcBorders>
            <w:vAlign w:val="center"/>
          </w:tcPr>
          <w:p w:rsidR="00BE63B0" w:rsidRPr="00F75DB0" w:rsidRDefault="00BE63B0" w:rsidP="003D5F89">
            <w:pPr>
              <w:spacing w:before="20" w:after="20" w:line="240" w:lineRule="auto"/>
              <w:rPr>
                <w:rFonts w:cs="Arial"/>
                <w:sz w:val="18"/>
                <w:szCs w:val="18"/>
              </w:rPr>
            </w:pPr>
            <w:r w:rsidRPr="004A573E">
              <w:rPr>
                <w:rFonts w:cs="Arial"/>
                <w:sz w:val="18"/>
                <w:szCs w:val="18"/>
              </w:rPr>
              <w:t>Lower Darling Regulated River Water Source</w:t>
            </w:r>
          </w:p>
        </w:tc>
      </w:tr>
    </w:tbl>
    <w:p w:rsidR="00C34A8E" w:rsidRDefault="00C34A8E" w:rsidP="00C34A8E">
      <w:pPr>
        <w:pStyle w:val="MJAnormal"/>
      </w:pPr>
    </w:p>
    <w:p w:rsidR="00BE63B0" w:rsidRDefault="00BE63B0" w:rsidP="00BE63B0">
      <w:pPr>
        <w:pStyle w:val="Caption"/>
      </w:pPr>
      <w:r>
        <w:t xml:space="preserve">Table </w:t>
      </w:r>
      <w:r w:rsidR="00C23339">
        <w:fldChar w:fldCharType="begin"/>
      </w:r>
      <w:r w:rsidR="00134558">
        <w:instrText xml:space="preserve"> SEQ Table \* ARABIC </w:instrText>
      </w:r>
      <w:r w:rsidR="00C23339">
        <w:fldChar w:fldCharType="separate"/>
      </w:r>
      <w:r w:rsidR="00E00DC7">
        <w:rPr>
          <w:noProof/>
        </w:rPr>
        <w:t>26</w:t>
      </w:r>
      <w:r w:rsidR="00C23339">
        <w:rPr>
          <w:noProof/>
        </w:rPr>
        <w:fldChar w:fldCharType="end"/>
      </w:r>
      <w:r>
        <w:t>:</w:t>
      </w:r>
      <w:r w:rsidRPr="00504D65">
        <w:t xml:space="preserve"> Water </w:t>
      </w:r>
      <w:r>
        <w:t>Sources (Northern MDB)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1"/>
        <w:gridCol w:w="6914"/>
      </w:tblGrid>
      <w:tr w:rsidR="00BE63B0" w:rsidRPr="00F75DB0" w:rsidTr="00864C7A">
        <w:tc>
          <w:tcPr>
            <w:tcW w:w="2358" w:type="pct"/>
            <w:tcBorders>
              <w:top w:val="nil"/>
              <w:left w:val="nil"/>
              <w:bottom w:val="single" w:sz="4" w:space="0" w:color="FFFFFF" w:themeColor="background1"/>
              <w:right w:val="single" w:sz="4" w:space="0" w:color="FFFFFF" w:themeColor="background1"/>
            </w:tcBorders>
            <w:shd w:val="clear" w:color="auto" w:fill="0093D0"/>
            <w:vAlign w:val="center"/>
          </w:tcPr>
          <w:p w:rsidR="00BE63B0" w:rsidRPr="00F75DB0" w:rsidRDefault="00BE63B0" w:rsidP="003D5F89">
            <w:pPr>
              <w:spacing w:before="40" w:after="40" w:line="240" w:lineRule="auto"/>
              <w:rPr>
                <w:rFonts w:cs="Arial"/>
                <w:b/>
                <w:color w:val="FFFFFF"/>
                <w:sz w:val="20"/>
                <w:szCs w:val="20"/>
              </w:rPr>
            </w:pPr>
            <w:r w:rsidRPr="00F75DB0">
              <w:rPr>
                <w:rFonts w:cs="Arial"/>
                <w:b/>
                <w:color w:val="FFFFFF"/>
                <w:sz w:val="20"/>
                <w:szCs w:val="20"/>
              </w:rPr>
              <w:t>Region</w:t>
            </w:r>
          </w:p>
        </w:tc>
        <w:tc>
          <w:tcPr>
            <w:tcW w:w="2642" w:type="pct"/>
            <w:tcBorders>
              <w:top w:val="nil"/>
              <w:left w:val="single" w:sz="4" w:space="0" w:color="FFFFFF" w:themeColor="background1"/>
              <w:bottom w:val="single" w:sz="4" w:space="0" w:color="FFFFFF" w:themeColor="background1"/>
              <w:right w:val="nil"/>
            </w:tcBorders>
            <w:shd w:val="clear" w:color="auto" w:fill="0093D0"/>
            <w:vAlign w:val="center"/>
          </w:tcPr>
          <w:p w:rsidR="00BE63B0" w:rsidRPr="00F75DB0" w:rsidRDefault="00BE63B0" w:rsidP="003D5F89">
            <w:pPr>
              <w:spacing w:before="40" w:after="40" w:line="240" w:lineRule="auto"/>
              <w:rPr>
                <w:rFonts w:cs="Arial"/>
                <w:b/>
                <w:color w:val="FFFFFF"/>
                <w:sz w:val="20"/>
                <w:szCs w:val="20"/>
              </w:rPr>
            </w:pPr>
            <w:r w:rsidRPr="00F75DB0">
              <w:rPr>
                <w:rFonts w:cs="Arial"/>
                <w:b/>
                <w:color w:val="FFFFFF"/>
                <w:sz w:val="20"/>
                <w:szCs w:val="20"/>
              </w:rPr>
              <w:t>Entitlement Type</w:t>
            </w:r>
          </w:p>
        </w:tc>
      </w:tr>
      <w:tr w:rsidR="00BE63B0" w:rsidRPr="00F75DB0" w:rsidTr="00864C7A">
        <w:tc>
          <w:tcPr>
            <w:tcW w:w="2358" w:type="pct"/>
            <w:tcBorders>
              <w:top w:val="single" w:sz="4" w:space="0" w:color="FFFFFF" w:themeColor="background1"/>
              <w:left w:val="nil"/>
              <w:bottom w:val="single" w:sz="4" w:space="0" w:color="0093D0"/>
              <w:right w:val="single" w:sz="4" w:space="0" w:color="0093D0"/>
            </w:tcBorders>
            <w:vAlign w:val="center"/>
          </w:tcPr>
          <w:p w:rsidR="00BE63B0" w:rsidRPr="00F75DB0" w:rsidRDefault="00BE63B0" w:rsidP="003D5F89">
            <w:pPr>
              <w:spacing w:before="20" w:after="20" w:line="240" w:lineRule="auto"/>
              <w:rPr>
                <w:rFonts w:cs="Arial"/>
                <w:sz w:val="18"/>
                <w:szCs w:val="18"/>
              </w:rPr>
            </w:pPr>
            <w:r w:rsidRPr="00F75DB0">
              <w:rPr>
                <w:rFonts w:cs="Arial"/>
                <w:b/>
                <w:sz w:val="18"/>
                <w:szCs w:val="18"/>
              </w:rPr>
              <w:t>Macquarie</w:t>
            </w:r>
          </w:p>
        </w:tc>
        <w:tc>
          <w:tcPr>
            <w:tcW w:w="2642" w:type="pct"/>
            <w:tcBorders>
              <w:top w:val="single" w:sz="4" w:space="0" w:color="FFFFFF" w:themeColor="background1"/>
              <w:left w:val="single" w:sz="4" w:space="0" w:color="0093D0"/>
              <w:bottom w:val="single" w:sz="4" w:space="0" w:color="0093D0"/>
              <w:right w:val="nil"/>
            </w:tcBorders>
            <w:vAlign w:val="center"/>
          </w:tcPr>
          <w:p w:rsidR="00BE63B0" w:rsidRPr="00F75DB0" w:rsidRDefault="00BE63B0" w:rsidP="003D5F89">
            <w:pPr>
              <w:spacing w:before="20" w:after="20" w:line="240" w:lineRule="auto"/>
              <w:rPr>
                <w:rFonts w:cs="Arial"/>
                <w:sz w:val="18"/>
                <w:szCs w:val="18"/>
              </w:rPr>
            </w:pPr>
            <w:r w:rsidRPr="008D1653">
              <w:rPr>
                <w:rFonts w:cs="Arial"/>
                <w:sz w:val="18"/>
                <w:szCs w:val="18"/>
              </w:rPr>
              <w:t>Macquarie and Cudgegong Regulated Rivers Water Source</w:t>
            </w:r>
          </w:p>
        </w:tc>
      </w:tr>
      <w:tr w:rsidR="00BE63B0" w:rsidRPr="00F75DB0" w:rsidTr="00864C7A">
        <w:tc>
          <w:tcPr>
            <w:tcW w:w="2358" w:type="pct"/>
            <w:tcBorders>
              <w:top w:val="single" w:sz="4" w:space="0" w:color="0093D0"/>
              <w:left w:val="nil"/>
              <w:bottom w:val="single" w:sz="4" w:space="0" w:color="0093D0"/>
              <w:right w:val="single" w:sz="4" w:space="0" w:color="0093D0"/>
            </w:tcBorders>
            <w:vAlign w:val="center"/>
          </w:tcPr>
          <w:p w:rsidR="00BE63B0" w:rsidRPr="00F75DB0" w:rsidRDefault="00BE63B0" w:rsidP="003D5F89">
            <w:pPr>
              <w:spacing w:before="20" w:after="20" w:line="240" w:lineRule="auto"/>
              <w:rPr>
                <w:rFonts w:cs="Arial"/>
                <w:b/>
                <w:sz w:val="18"/>
                <w:szCs w:val="18"/>
              </w:rPr>
            </w:pPr>
            <w:r w:rsidRPr="00F75DB0">
              <w:rPr>
                <w:rFonts w:cs="Arial"/>
                <w:b/>
                <w:sz w:val="18"/>
                <w:szCs w:val="18"/>
              </w:rPr>
              <w:t>Namoi</w:t>
            </w:r>
          </w:p>
        </w:tc>
        <w:tc>
          <w:tcPr>
            <w:tcW w:w="2642" w:type="pct"/>
            <w:tcBorders>
              <w:top w:val="single" w:sz="4" w:space="0" w:color="0093D0"/>
              <w:left w:val="single" w:sz="4" w:space="0" w:color="0093D0"/>
              <w:bottom w:val="single" w:sz="4" w:space="0" w:color="0093D0"/>
              <w:right w:val="nil"/>
            </w:tcBorders>
            <w:vAlign w:val="center"/>
          </w:tcPr>
          <w:p w:rsidR="00BE63B0" w:rsidRPr="008D1653" w:rsidRDefault="00BE63B0" w:rsidP="003D5F89">
            <w:pPr>
              <w:spacing w:before="20" w:after="20" w:line="240" w:lineRule="auto"/>
              <w:rPr>
                <w:rFonts w:cs="Arial"/>
                <w:sz w:val="18"/>
                <w:szCs w:val="18"/>
              </w:rPr>
            </w:pPr>
            <w:r w:rsidRPr="008D1653">
              <w:rPr>
                <w:rFonts w:cs="Arial"/>
                <w:sz w:val="18"/>
                <w:szCs w:val="18"/>
              </w:rPr>
              <w:t xml:space="preserve">Lower Namoi Regulated River Water Source </w:t>
            </w:r>
          </w:p>
          <w:p w:rsidR="00BE63B0" w:rsidRPr="00F75DB0" w:rsidRDefault="00BE63B0" w:rsidP="003D5F89">
            <w:pPr>
              <w:spacing w:before="20" w:after="20" w:line="240" w:lineRule="auto"/>
              <w:rPr>
                <w:rFonts w:cs="Arial"/>
                <w:sz w:val="18"/>
                <w:szCs w:val="18"/>
              </w:rPr>
            </w:pPr>
            <w:r w:rsidRPr="008D1653">
              <w:rPr>
                <w:rFonts w:cs="Arial"/>
                <w:sz w:val="18"/>
                <w:szCs w:val="18"/>
              </w:rPr>
              <w:t>Upper Namoi Regulated River Water Source</w:t>
            </w:r>
          </w:p>
        </w:tc>
      </w:tr>
      <w:tr w:rsidR="00BE63B0" w:rsidRPr="00F75DB0" w:rsidTr="00864C7A">
        <w:tc>
          <w:tcPr>
            <w:tcW w:w="2358" w:type="pct"/>
            <w:tcBorders>
              <w:top w:val="single" w:sz="4" w:space="0" w:color="0093D0"/>
              <w:left w:val="nil"/>
              <w:bottom w:val="single" w:sz="4" w:space="0" w:color="0093D0"/>
              <w:right w:val="single" w:sz="4" w:space="0" w:color="0093D0"/>
            </w:tcBorders>
            <w:vAlign w:val="center"/>
          </w:tcPr>
          <w:p w:rsidR="00BE63B0" w:rsidRPr="00F75DB0" w:rsidRDefault="00BE63B0" w:rsidP="003D5F89">
            <w:pPr>
              <w:spacing w:before="20" w:after="20" w:line="240" w:lineRule="auto"/>
              <w:rPr>
                <w:rFonts w:cs="Arial"/>
                <w:b/>
                <w:sz w:val="18"/>
                <w:szCs w:val="18"/>
              </w:rPr>
            </w:pPr>
            <w:r w:rsidRPr="00F75DB0">
              <w:rPr>
                <w:rFonts w:cs="Arial"/>
                <w:b/>
                <w:sz w:val="18"/>
                <w:szCs w:val="18"/>
              </w:rPr>
              <w:t>Gwydir</w:t>
            </w:r>
          </w:p>
        </w:tc>
        <w:tc>
          <w:tcPr>
            <w:tcW w:w="2642" w:type="pct"/>
            <w:tcBorders>
              <w:top w:val="single" w:sz="4" w:space="0" w:color="0093D0"/>
              <w:left w:val="single" w:sz="4" w:space="0" w:color="0093D0"/>
              <w:bottom w:val="single" w:sz="4" w:space="0" w:color="0093D0"/>
              <w:right w:val="nil"/>
            </w:tcBorders>
            <w:vAlign w:val="center"/>
          </w:tcPr>
          <w:p w:rsidR="00BE63B0" w:rsidRPr="00F75DB0" w:rsidRDefault="00BE63B0" w:rsidP="003D5F89">
            <w:pPr>
              <w:spacing w:before="20" w:after="20" w:line="240" w:lineRule="auto"/>
              <w:rPr>
                <w:rFonts w:cs="Arial"/>
                <w:sz w:val="18"/>
                <w:szCs w:val="18"/>
              </w:rPr>
            </w:pPr>
            <w:r>
              <w:rPr>
                <w:rFonts w:cs="Arial"/>
                <w:sz w:val="18"/>
                <w:szCs w:val="18"/>
              </w:rPr>
              <w:t>G</w:t>
            </w:r>
            <w:r w:rsidRPr="008D1653">
              <w:rPr>
                <w:rFonts w:cs="Arial"/>
                <w:sz w:val="18"/>
                <w:szCs w:val="18"/>
              </w:rPr>
              <w:t>wydir Regulated River Water Source</w:t>
            </w:r>
          </w:p>
        </w:tc>
      </w:tr>
      <w:tr w:rsidR="00BE63B0" w:rsidRPr="00F75DB0" w:rsidTr="00864C7A">
        <w:tc>
          <w:tcPr>
            <w:tcW w:w="2358" w:type="pct"/>
            <w:tcBorders>
              <w:top w:val="single" w:sz="4" w:space="0" w:color="0093D0"/>
              <w:left w:val="nil"/>
              <w:bottom w:val="single" w:sz="4" w:space="0" w:color="0093D0"/>
              <w:right w:val="single" w:sz="4" w:space="0" w:color="0093D0"/>
            </w:tcBorders>
            <w:vAlign w:val="center"/>
          </w:tcPr>
          <w:p w:rsidR="00BE63B0" w:rsidRPr="00F75DB0" w:rsidRDefault="00BE63B0" w:rsidP="003D5F89">
            <w:pPr>
              <w:spacing w:before="20" w:after="20" w:line="240" w:lineRule="auto"/>
              <w:rPr>
                <w:rFonts w:cs="Arial"/>
                <w:b/>
                <w:sz w:val="18"/>
                <w:szCs w:val="18"/>
              </w:rPr>
            </w:pPr>
            <w:r w:rsidRPr="00F75DB0">
              <w:rPr>
                <w:rFonts w:cs="Arial"/>
                <w:b/>
                <w:sz w:val="18"/>
                <w:szCs w:val="18"/>
              </w:rPr>
              <w:t>NSW Border Rivers</w:t>
            </w:r>
          </w:p>
        </w:tc>
        <w:tc>
          <w:tcPr>
            <w:tcW w:w="2642" w:type="pct"/>
            <w:tcBorders>
              <w:top w:val="single" w:sz="4" w:space="0" w:color="0093D0"/>
              <w:left w:val="single" w:sz="4" w:space="0" w:color="0093D0"/>
              <w:bottom w:val="single" w:sz="4" w:space="0" w:color="0093D0"/>
              <w:right w:val="nil"/>
            </w:tcBorders>
            <w:vAlign w:val="center"/>
          </w:tcPr>
          <w:p w:rsidR="00BE63B0" w:rsidRPr="00F75DB0" w:rsidRDefault="00BE63B0" w:rsidP="003D5F89">
            <w:pPr>
              <w:spacing w:before="20" w:after="20" w:line="240" w:lineRule="auto"/>
              <w:rPr>
                <w:rFonts w:cs="Arial"/>
                <w:sz w:val="18"/>
                <w:szCs w:val="18"/>
              </w:rPr>
            </w:pPr>
            <w:r w:rsidRPr="008D1653">
              <w:rPr>
                <w:rFonts w:cs="Arial"/>
                <w:sz w:val="18"/>
                <w:szCs w:val="18"/>
              </w:rPr>
              <w:t>Border Rivers Regulated River Water Source</w:t>
            </w:r>
          </w:p>
        </w:tc>
      </w:tr>
      <w:tr w:rsidR="00BE63B0" w:rsidRPr="00F75DB0" w:rsidTr="00864C7A">
        <w:tc>
          <w:tcPr>
            <w:tcW w:w="2358" w:type="pct"/>
            <w:tcBorders>
              <w:top w:val="single" w:sz="4" w:space="0" w:color="0093D0"/>
              <w:left w:val="nil"/>
              <w:bottom w:val="single" w:sz="4" w:space="0" w:color="0093D0"/>
              <w:right w:val="single" w:sz="4" w:space="0" w:color="0093D0"/>
            </w:tcBorders>
            <w:vAlign w:val="center"/>
          </w:tcPr>
          <w:p w:rsidR="00BE63B0" w:rsidRPr="00F75DB0" w:rsidRDefault="00BE63B0" w:rsidP="003D5F89">
            <w:pPr>
              <w:spacing w:before="20" w:after="20" w:line="240" w:lineRule="auto"/>
              <w:rPr>
                <w:rFonts w:cs="Arial"/>
                <w:sz w:val="18"/>
                <w:szCs w:val="18"/>
              </w:rPr>
            </w:pPr>
            <w:r w:rsidRPr="00F75DB0">
              <w:rPr>
                <w:rFonts w:cs="Arial"/>
                <w:b/>
                <w:sz w:val="18"/>
                <w:szCs w:val="18"/>
              </w:rPr>
              <w:t xml:space="preserve">Barwon Darling </w:t>
            </w:r>
          </w:p>
        </w:tc>
        <w:tc>
          <w:tcPr>
            <w:tcW w:w="2642" w:type="pct"/>
            <w:tcBorders>
              <w:top w:val="single" w:sz="4" w:space="0" w:color="0093D0"/>
              <w:left w:val="single" w:sz="4" w:space="0" w:color="0093D0"/>
              <w:bottom w:val="single" w:sz="4" w:space="0" w:color="0093D0"/>
              <w:right w:val="nil"/>
            </w:tcBorders>
            <w:vAlign w:val="center"/>
          </w:tcPr>
          <w:p w:rsidR="00BE63B0" w:rsidRPr="00F75DB0" w:rsidRDefault="00BE63B0" w:rsidP="003D5F89">
            <w:pPr>
              <w:spacing w:before="20" w:after="20" w:line="240" w:lineRule="auto"/>
              <w:rPr>
                <w:rFonts w:cs="Arial"/>
                <w:sz w:val="18"/>
                <w:szCs w:val="18"/>
              </w:rPr>
            </w:pPr>
            <w:r w:rsidRPr="008D1653">
              <w:rPr>
                <w:rFonts w:cs="Arial"/>
                <w:sz w:val="18"/>
                <w:szCs w:val="18"/>
              </w:rPr>
              <w:t>Barwon Darling Unregulated River Water Source</w:t>
            </w:r>
          </w:p>
        </w:tc>
      </w:tr>
      <w:tr w:rsidR="00BE63B0" w:rsidRPr="00F75DB0" w:rsidTr="00864C7A">
        <w:tc>
          <w:tcPr>
            <w:tcW w:w="2358" w:type="pct"/>
            <w:tcBorders>
              <w:top w:val="single" w:sz="4" w:space="0" w:color="0093D0"/>
              <w:left w:val="nil"/>
              <w:bottom w:val="single" w:sz="4" w:space="0" w:color="0093D0"/>
              <w:right w:val="single" w:sz="4" w:space="0" w:color="0093D0"/>
            </w:tcBorders>
            <w:vAlign w:val="center"/>
          </w:tcPr>
          <w:p w:rsidR="00BE63B0" w:rsidRPr="00F75DB0" w:rsidRDefault="00BE63B0" w:rsidP="003D5F89">
            <w:pPr>
              <w:spacing w:before="20" w:after="20" w:line="240" w:lineRule="auto"/>
              <w:rPr>
                <w:rFonts w:cs="Arial"/>
                <w:b/>
                <w:sz w:val="18"/>
                <w:szCs w:val="18"/>
              </w:rPr>
            </w:pPr>
            <w:r w:rsidRPr="00F75DB0">
              <w:rPr>
                <w:rFonts w:cs="Arial"/>
                <w:b/>
                <w:sz w:val="18"/>
                <w:szCs w:val="18"/>
              </w:rPr>
              <w:t>Lachlan</w:t>
            </w:r>
          </w:p>
        </w:tc>
        <w:tc>
          <w:tcPr>
            <w:tcW w:w="2642" w:type="pct"/>
            <w:tcBorders>
              <w:top w:val="single" w:sz="4" w:space="0" w:color="0093D0"/>
              <w:left w:val="single" w:sz="4" w:space="0" w:color="0093D0"/>
              <w:bottom w:val="single" w:sz="4" w:space="0" w:color="0093D0"/>
              <w:right w:val="nil"/>
            </w:tcBorders>
            <w:vAlign w:val="center"/>
          </w:tcPr>
          <w:p w:rsidR="00BE63B0" w:rsidRPr="00F75DB0" w:rsidRDefault="00BE63B0" w:rsidP="003D5F89">
            <w:pPr>
              <w:spacing w:before="20" w:after="20" w:line="240" w:lineRule="auto"/>
              <w:rPr>
                <w:rFonts w:cs="Arial"/>
                <w:sz w:val="18"/>
                <w:szCs w:val="18"/>
              </w:rPr>
            </w:pPr>
            <w:r w:rsidRPr="008D1653">
              <w:rPr>
                <w:rFonts w:cs="Arial"/>
                <w:sz w:val="18"/>
                <w:szCs w:val="18"/>
              </w:rPr>
              <w:t>Lachlan Regulated River Water Source</w:t>
            </w:r>
          </w:p>
        </w:tc>
      </w:tr>
    </w:tbl>
    <w:p w:rsidR="00107BE6" w:rsidRPr="002D50B8" w:rsidRDefault="00107BE6" w:rsidP="00C34A8E">
      <w:pPr>
        <w:pStyle w:val="MJAnormal"/>
      </w:pPr>
    </w:p>
    <w:sectPr w:rsidR="00107BE6" w:rsidRPr="002D50B8" w:rsidSect="00C36EF5">
      <w:pgSz w:w="16838" w:h="11906" w:orient="landscape" w:code="9"/>
      <w:pgMar w:top="1134" w:right="1701" w:bottom="851" w:left="2268" w:header="680"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40C" w:rsidRDefault="00CE440C" w:rsidP="00F80890">
      <w:pPr>
        <w:spacing w:after="0" w:line="240" w:lineRule="auto"/>
      </w:pPr>
      <w:r>
        <w:separator/>
      </w:r>
    </w:p>
  </w:endnote>
  <w:endnote w:type="continuationSeparator" w:id="0">
    <w:p w:rsidR="00CE440C" w:rsidRDefault="00CE440C" w:rsidP="00F808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188" w:rsidRDefault="008D718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6487"/>
      <w:gridCol w:w="2233"/>
    </w:tblGrid>
    <w:tr w:rsidR="00DE4F2B" w:rsidRPr="00F75DB0" w:rsidTr="00F75DB0">
      <w:tc>
        <w:tcPr>
          <w:tcW w:w="6487" w:type="dxa"/>
        </w:tcPr>
        <w:p w:rsidR="00DE4F2B" w:rsidRPr="00F75DB0" w:rsidRDefault="00DE4F2B" w:rsidP="00F75DB0">
          <w:pPr>
            <w:spacing w:after="0" w:line="240" w:lineRule="auto"/>
            <w:rPr>
              <w:i/>
              <w:color w:val="A6A6A6"/>
            </w:rPr>
          </w:pPr>
          <w:r w:rsidRPr="00F75DB0">
            <w:rPr>
              <w:i/>
              <w:noProof/>
              <w:color w:val="A6A6A6"/>
              <w:lang w:eastAsia="en-AU"/>
            </w:rPr>
            <w:drawing>
              <wp:inline distT="0" distB="0" distL="0" distR="0">
                <wp:extent cx="1668780" cy="175260"/>
                <wp:effectExtent l="0" t="0" r="7620" b="0"/>
                <wp:docPr id="38" name="Picture 7" descr="C:\Users\amarsden.MARSDENJACOB\Desktop\Marsden Jacob logo 2011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rsden.MARSDENJACOB\Desktop\Marsden Jacob logo 2011_files\image0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8780" cy="175260"/>
                        </a:xfrm>
                        <a:prstGeom prst="rect">
                          <a:avLst/>
                        </a:prstGeom>
                        <a:noFill/>
                        <a:ln>
                          <a:noFill/>
                        </a:ln>
                      </pic:spPr>
                    </pic:pic>
                  </a:graphicData>
                </a:graphic>
              </wp:inline>
            </w:drawing>
          </w:r>
        </w:p>
      </w:tc>
      <w:tc>
        <w:tcPr>
          <w:tcW w:w="2233" w:type="dxa"/>
        </w:tcPr>
        <w:p w:rsidR="00DE4F2B" w:rsidRPr="00F75DB0" w:rsidRDefault="00DE4F2B" w:rsidP="00F75DB0">
          <w:pPr>
            <w:spacing w:after="0" w:line="240" w:lineRule="auto"/>
            <w:jc w:val="right"/>
            <w:rPr>
              <w:i/>
              <w:color w:val="A6A6A6"/>
              <w:sz w:val="16"/>
              <w:szCs w:val="16"/>
            </w:rPr>
          </w:pPr>
        </w:p>
      </w:tc>
    </w:tr>
  </w:tbl>
  <w:p w:rsidR="00DE4F2B" w:rsidRDefault="00DE4F2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188" w:rsidRDefault="008D718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6487"/>
      <w:gridCol w:w="2233"/>
    </w:tblGrid>
    <w:tr w:rsidR="00DE4F2B" w:rsidRPr="00F75DB0" w:rsidTr="00F75DB0">
      <w:tc>
        <w:tcPr>
          <w:tcW w:w="6487" w:type="dxa"/>
        </w:tcPr>
        <w:p w:rsidR="00DE4F2B" w:rsidRPr="00F75DB0" w:rsidRDefault="00DE4F2B" w:rsidP="00F75DB0">
          <w:pPr>
            <w:spacing w:after="0" w:line="240" w:lineRule="auto"/>
            <w:rPr>
              <w:i/>
              <w:color w:val="A6A6A6"/>
            </w:rPr>
          </w:pPr>
        </w:p>
      </w:tc>
      <w:tc>
        <w:tcPr>
          <w:tcW w:w="2233" w:type="dxa"/>
        </w:tcPr>
        <w:p w:rsidR="00DE4F2B" w:rsidRPr="00F75DB0" w:rsidRDefault="00DE4F2B" w:rsidP="00F75DB0">
          <w:pPr>
            <w:spacing w:after="0" w:line="240" w:lineRule="auto"/>
            <w:jc w:val="right"/>
            <w:rPr>
              <w:i/>
              <w:color w:val="A6A6A6"/>
              <w:sz w:val="16"/>
              <w:szCs w:val="16"/>
            </w:rPr>
          </w:pPr>
        </w:p>
      </w:tc>
    </w:tr>
  </w:tbl>
  <w:p w:rsidR="00DE4F2B" w:rsidRDefault="00DE4F2B"/>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6487"/>
      <w:gridCol w:w="2233"/>
    </w:tblGrid>
    <w:tr w:rsidR="00DE4F2B" w:rsidRPr="00F75DB0" w:rsidTr="00F75DB0">
      <w:tc>
        <w:tcPr>
          <w:tcW w:w="6487" w:type="dxa"/>
        </w:tcPr>
        <w:p w:rsidR="00DE4F2B" w:rsidRPr="00F75DB0" w:rsidRDefault="00DE4F2B" w:rsidP="00EC7473">
          <w:pPr>
            <w:spacing w:after="0" w:line="240" w:lineRule="auto"/>
            <w:rPr>
              <w:i/>
              <w:color w:val="A6A6A6"/>
              <w:sz w:val="16"/>
              <w:szCs w:val="16"/>
            </w:rPr>
          </w:pPr>
          <w:r w:rsidRPr="00F75DB0">
            <w:rPr>
              <w:i/>
              <w:color w:val="A6A6A6"/>
              <w:sz w:val="16"/>
              <w:szCs w:val="16"/>
            </w:rPr>
            <w:t xml:space="preserve">Australian Government Department of </w:t>
          </w:r>
          <w:r>
            <w:rPr>
              <w:i/>
              <w:color w:val="A6A6A6"/>
              <w:sz w:val="16"/>
              <w:szCs w:val="16"/>
            </w:rPr>
            <w:t>Agriculture and Water Resources</w:t>
          </w:r>
        </w:p>
      </w:tc>
      <w:tc>
        <w:tcPr>
          <w:tcW w:w="2233" w:type="dxa"/>
        </w:tcPr>
        <w:p w:rsidR="00DE4F2B" w:rsidRPr="00F75DB0" w:rsidRDefault="00C23339" w:rsidP="00F75DB0">
          <w:pPr>
            <w:spacing w:after="0" w:line="240" w:lineRule="auto"/>
            <w:jc w:val="right"/>
            <w:rPr>
              <w:i/>
              <w:color w:val="A6A6A6"/>
              <w:sz w:val="16"/>
              <w:szCs w:val="16"/>
            </w:rPr>
          </w:pPr>
          <w:r w:rsidRPr="00F75DB0">
            <w:rPr>
              <w:i/>
              <w:color w:val="A6A6A6"/>
              <w:sz w:val="16"/>
              <w:szCs w:val="16"/>
            </w:rPr>
            <w:fldChar w:fldCharType="begin"/>
          </w:r>
          <w:r w:rsidR="00DE4F2B" w:rsidRPr="00F75DB0">
            <w:rPr>
              <w:i/>
              <w:color w:val="A6A6A6"/>
              <w:sz w:val="16"/>
              <w:szCs w:val="16"/>
            </w:rPr>
            <w:instrText xml:space="preserve"> PAGE   \* MERGEFORMAT </w:instrText>
          </w:r>
          <w:r w:rsidRPr="00F75DB0">
            <w:rPr>
              <w:i/>
              <w:color w:val="A6A6A6"/>
              <w:sz w:val="16"/>
              <w:szCs w:val="16"/>
            </w:rPr>
            <w:fldChar w:fldCharType="separate"/>
          </w:r>
          <w:r w:rsidR="008D7188">
            <w:rPr>
              <w:i/>
              <w:noProof/>
              <w:color w:val="A6A6A6"/>
              <w:sz w:val="16"/>
              <w:szCs w:val="16"/>
            </w:rPr>
            <w:t>29</w:t>
          </w:r>
          <w:r w:rsidRPr="00F75DB0">
            <w:rPr>
              <w:i/>
              <w:color w:val="A6A6A6"/>
              <w:sz w:val="16"/>
              <w:szCs w:val="16"/>
            </w:rPr>
            <w:fldChar w:fldCharType="end"/>
          </w:r>
          <w:r w:rsidR="00DE4F2B" w:rsidRPr="00F75DB0">
            <w:rPr>
              <w:i/>
              <w:color w:val="A6A6A6"/>
              <w:sz w:val="16"/>
              <w:szCs w:val="16"/>
            </w:rPr>
            <w:t>.</w:t>
          </w:r>
        </w:p>
      </w:tc>
    </w:tr>
  </w:tbl>
  <w:p w:rsidR="00DE4F2B" w:rsidRDefault="00DE4F2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40C" w:rsidRDefault="00CE440C" w:rsidP="00F80890">
      <w:pPr>
        <w:spacing w:after="0" w:line="240" w:lineRule="auto"/>
      </w:pPr>
      <w:r>
        <w:separator/>
      </w:r>
    </w:p>
  </w:footnote>
  <w:footnote w:type="continuationSeparator" w:id="0">
    <w:p w:rsidR="00CE440C" w:rsidRDefault="00CE440C" w:rsidP="00F80890">
      <w:pPr>
        <w:spacing w:after="0" w:line="240" w:lineRule="auto"/>
      </w:pPr>
      <w:r>
        <w:continuationSeparator/>
      </w:r>
    </w:p>
  </w:footnote>
  <w:footnote w:id="1">
    <w:p w:rsidR="00DE4F2B" w:rsidRDefault="00DE4F2B" w:rsidP="00505F1C">
      <w:pPr>
        <w:pStyle w:val="FootnoteText"/>
      </w:pPr>
      <w:r>
        <w:rPr>
          <w:rStyle w:val="FootnoteReference"/>
        </w:rPr>
        <w:footnoteRef/>
      </w:r>
      <w:r>
        <w:t xml:space="preserve"> </w:t>
      </w:r>
      <w:r>
        <w:tab/>
        <w:t>Water access entitlement is a perpetual or ongoing entitlement to exclusive access to a share of water from a specified consumptive pool as defined in the relevant water plan, Source</w:t>
      </w:r>
      <w:r w:rsidRPr="00335904">
        <w:rPr>
          <w:i/>
        </w:rPr>
        <w:t xml:space="preserve">: </w:t>
      </w:r>
      <w:r w:rsidRPr="00335904">
        <w:rPr>
          <w:rStyle w:val="Emphasis"/>
          <w:i w:val="0"/>
        </w:rPr>
        <w:t>Schedule B(ii)</w:t>
      </w:r>
      <w:r>
        <w:rPr>
          <w:rStyle w:val="Emphasis"/>
          <w:i w:val="0"/>
        </w:rPr>
        <w:t>,</w:t>
      </w:r>
      <w:r w:rsidRPr="00335904">
        <w:rPr>
          <w:rStyle w:val="Emphasis"/>
          <w:i w:val="0"/>
        </w:rPr>
        <w:t xml:space="preserve"> </w:t>
      </w:r>
      <w:r>
        <w:rPr>
          <w:rStyle w:val="Emphasis"/>
          <w:i w:val="0"/>
        </w:rPr>
        <w:t>Intergovernmental Agreement on a National Water Initiative (</w:t>
      </w:r>
      <w:r w:rsidRPr="00EB706B">
        <w:rPr>
          <w:rStyle w:val="HTMLAcronym"/>
          <w:iCs/>
        </w:rPr>
        <w:t>NWI</w:t>
      </w:r>
      <w:r>
        <w:rPr>
          <w:rStyle w:val="HTMLAcronym"/>
          <w:iCs/>
        </w:rPr>
        <w:t>)</w:t>
      </w:r>
    </w:p>
  </w:footnote>
  <w:footnote w:id="2">
    <w:p w:rsidR="00DE4F2B" w:rsidRDefault="00DE4F2B" w:rsidP="00EE00DE">
      <w:pPr>
        <w:pStyle w:val="FootnoteText"/>
        <w:jc w:val="left"/>
      </w:pPr>
      <w:r>
        <w:rPr>
          <w:rStyle w:val="FootnoteReference"/>
        </w:rPr>
        <w:footnoteRef/>
      </w:r>
      <w:r>
        <w:t xml:space="preserve"> </w:t>
      </w:r>
      <w:r>
        <w:tab/>
      </w:r>
      <w:hyperlink r:id="rId1" w:history="1">
        <w:r w:rsidRPr="00DC3E8D">
          <w:rPr>
            <w:rStyle w:val="Hyperlink"/>
          </w:rPr>
          <w:t>http://www.mdba.gov.au/what-we-do/managing-rivers/water-trade/water-markets-product-info</w:t>
        </w:r>
      </w:hyperlink>
      <w:r>
        <w:t xml:space="preserve"> </w:t>
      </w:r>
      <w:hyperlink r:id="rId2" w:history="1">
        <w:r w:rsidRPr="00DC3E8D">
          <w:rPr>
            <w:rStyle w:val="Hyperlink"/>
          </w:rPr>
          <w:t>http://www.mdba.gov.au/what-we-do/managing-rivers/water-trade/southern-connected-trading-zones</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188" w:rsidRDefault="008D718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188" w:rsidRDefault="008D718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188" w:rsidRDefault="008D718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F2B" w:rsidRDefault="00DE4F2B">
    <w:r>
      <w:rPr>
        <w:noProof/>
        <w:lang w:eastAsia="en-AU"/>
      </w:rPr>
      <w:drawing>
        <wp:anchor distT="0" distB="0" distL="114300" distR="114300" simplePos="0" relativeHeight="251657216" behindDoc="0" locked="0" layoutInCell="1" allowOverlap="1">
          <wp:simplePos x="0" y="0"/>
          <wp:positionH relativeFrom="column">
            <wp:posOffset>3598545</wp:posOffset>
          </wp:positionH>
          <wp:positionV relativeFrom="paragraph">
            <wp:posOffset>349250</wp:posOffset>
          </wp:positionV>
          <wp:extent cx="1628775" cy="209550"/>
          <wp:effectExtent l="0" t="0" r="9525" b="0"/>
          <wp:wrapNone/>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209550"/>
                  </a:xfrm>
                  <a:prstGeom prst="rect">
                    <a:avLst/>
                  </a:prstGeom>
                  <a:noFill/>
                  <a:ln>
                    <a:noFill/>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F2B" w:rsidRDefault="00DE4F2B" w:rsidP="000A56D6">
    <w:pPr>
      <w:tabs>
        <w:tab w:val="left" w:pos="1770"/>
      </w:tabs>
      <w:jc w:val="right"/>
    </w:pPr>
    <w:r>
      <w:tab/>
    </w:r>
    <w:r w:rsidRPr="00C96593">
      <w:rPr>
        <w:noProof/>
        <w:lang w:eastAsia="en-AU"/>
      </w:rPr>
      <w:drawing>
        <wp:inline distT="0" distB="0" distL="0" distR="0">
          <wp:extent cx="1668780" cy="175260"/>
          <wp:effectExtent l="0" t="0" r="7620" b="0"/>
          <wp:docPr id="60" name="Picture 7" descr="C:\Users\amarsden.MARSDENJACOB\Desktop\Marsden Jacob logo 2011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rsden.MARSDENJACOB\Desktop\Marsden Jacob logo 2011_files\image0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8780" cy="17526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3B7E"/>
    <w:multiLevelType w:val="hybridMultilevel"/>
    <w:tmpl w:val="3EFEE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5B3E7A"/>
    <w:multiLevelType w:val="hybridMultilevel"/>
    <w:tmpl w:val="FA80869C"/>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5A4425"/>
    <w:multiLevelType w:val="multilevel"/>
    <w:tmpl w:val="972AB5B8"/>
    <w:name w:val="MJA"/>
    <w:lvl w:ilvl="0">
      <w:start w:val="1"/>
      <w:numFmt w:val="decimal"/>
      <w:pStyle w:val="MJAheading1"/>
      <w:lvlText w:val="%1."/>
      <w:lvlJc w:val="left"/>
      <w:pPr>
        <w:ind w:left="709" w:hanging="709"/>
      </w:pPr>
      <w:rPr>
        <w:rFonts w:hint="default"/>
      </w:rPr>
    </w:lvl>
    <w:lvl w:ilvl="1">
      <w:start w:val="1"/>
      <w:numFmt w:val="decimal"/>
      <w:pStyle w:val="MJAheading2"/>
      <w:lvlText w:val="%1.%2"/>
      <w:lvlJc w:val="left"/>
      <w:pPr>
        <w:ind w:left="709" w:hanging="709"/>
      </w:pPr>
      <w:rPr>
        <w:rFonts w:hint="default"/>
      </w:rPr>
    </w:lvl>
    <w:lvl w:ilvl="2">
      <w:start w:val="1"/>
      <w:numFmt w:val="decimal"/>
      <w:pStyle w:val="MJAheading3"/>
      <w:lvlText w:val="%1.%2.%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3">
    <w:nsid w:val="1C603CDB"/>
    <w:multiLevelType w:val="singleLevel"/>
    <w:tmpl w:val="2118E954"/>
    <w:lvl w:ilvl="0">
      <w:start w:val="1"/>
      <w:numFmt w:val="bullet"/>
      <w:lvlText w:val=""/>
      <w:lvlJc w:val="left"/>
      <w:pPr>
        <w:ind w:left="927" w:hanging="360"/>
      </w:pPr>
      <w:rPr>
        <w:rFonts w:ascii="Symbol" w:hAnsi="Symbol" w:hint="default"/>
        <w:color w:val="447C7A"/>
      </w:rPr>
    </w:lvl>
  </w:abstractNum>
  <w:abstractNum w:abstractNumId="4">
    <w:nsid w:val="22A265FC"/>
    <w:multiLevelType w:val="multilevel"/>
    <w:tmpl w:val="3198ECA8"/>
    <w:lvl w:ilvl="0">
      <w:start w:val="1"/>
      <w:numFmt w:val="bullet"/>
      <w:pStyle w:val="ListBullet"/>
      <w:lvlText w:val=""/>
      <w:lvlJc w:val="left"/>
      <w:pPr>
        <w:tabs>
          <w:tab w:val="num" w:pos="360"/>
        </w:tabs>
        <w:ind w:left="360" w:hanging="360"/>
      </w:pPr>
      <w:rPr>
        <w:rFonts w:ascii="Symbol" w:hAnsi="Symbol" w:hint="default"/>
        <w:b w:val="0"/>
        <w:i w:val="0"/>
        <w:sz w:val="22"/>
        <w:szCs w:val="22"/>
      </w:rPr>
    </w:lvl>
    <w:lvl w:ilvl="1">
      <w:start w:val="1"/>
      <w:numFmt w:val="bullet"/>
      <w:lvlText w:val="○"/>
      <w:lvlJc w:val="left"/>
      <w:pPr>
        <w:tabs>
          <w:tab w:val="num" w:pos="720"/>
        </w:tabs>
        <w:ind w:left="720" w:hanging="360"/>
      </w:pPr>
      <w:rPr>
        <w:rFonts w:ascii="Arial" w:hAnsi="Arial" w:cs="Times New Roman" w:hint="default"/>
        <w:b w:val="0"/>
        <w:i w:val="0"/>
        <w:sz w:val="22"/>
        <w:szCs w:val="22"/>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nsid w:val="239B20CF"/>
    <w:multiLevelType w:val="hybridMultilevel"/>
    <w:tmpl w:val="AC4ED874"/>
    <w:lvl w:ilvl="0" w:tplc="228828D4">
      <w:start w:val="1"/>
      <w:numFmt w:val="decimal"/>
      <w:pStyle w:val="MJAESnormal"/>
      <w:lvlText w:val="ES.%1."/>
      <w:lvlJc w:val="left"/>
      <w:pPr>
        <w:ind w:left="360" w:hanging="360"/>
      </w:pPr>
      <w:rPr>
        <w:rFonts w:ascii="Times New Roman" w:hAnsi="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B5A4F77"/>
    <w:multiLevelType w:val="hybridMultilevel"/>
    <w:tmpl w:val="8A0EAA6E"/>
    <w:lvl w:ilvl="0" w:tplc="2B4099CA">
      <w:start w:val="1"/>
      <w:numFmt w:val="bullet"/>
      <w:pStyle w:val="MJAdashbullet"/>
      <w:lvlText w:val=""/>
      <w:lvlJc w:val="left"/>
      <w:pPr>
        <w:ind w:left="720" w:hanging="360"/>
      </w:pPr>
      <w:rPr>
        <w:rFonts w:ascii="Symbol" w:hAnsi="Symbol" w:hint="default"/>
        <w:color w:val="0093D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74345D1"/>
    <w:multiLevelType w:val="singleLevel"/>
    <w:tmpl w:val="F93E4E20"/>
    <w:lvl w:ilvl="0">
      <w:start w:val="1"/>
      <w:numFmt w:val="bullet"/>
      <w:pStyle w:val="MJAbulletnormal"/>
      <w:lvlText w:val=""/>
      <w:lvlJc w:val="left"/>
      <w:pPr>
        <w:ind w:left="360" w:hanging="360"/>
      </w:pPr>
      <w:rPr>
        <w:rFonts w:ascii="Wingdings" w:hAnsi="Wingdings" w:hint="default"/>
        <w:color w:val="0093D0"/>
      </w:rPr>
    </w:lvl>
  </w:abstractNum>
  <w:abstractNum w:abstractNumId="8">
    <w:nsid w:val="46697976"/>
    <w:multiLevelType w:val="multilevel"/>
    <w:tmpl w:val="2CD41EC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4ED45AAF"/>
    <w:multiLevelType w:val="hybridMultilevel"/>
    <w:tmpl w:val="4C3C19FE"/>
    <w:lvl w:ilvl="0" w:tplc="2118E954">
      <w:start w:val="1"/>
      <w:numFmt w:val="bullet"/>
      <w:lvlText w:val=""/>
      <w:lvlJc w:val="left"/>
      <w:pPr>
        <w:ind w:left="1080" w:hanging="360"/>
      </w:pPr>
      <w:rPr>
        <w:rFonts w:ascii="Symbol" w:hAnsi="Symbol" w:hint="default"/>
        <w:color w:val="447C7A"/>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58F91ACC"/>
    <w:multiLevelType w:val="multilevel"/>
    <w:tmpl w:val="0409001D"/>
    <w:styleLink w:val="NEWMJAListStyle"/>
    <w:lvl w:ilvl="0">
      <w:start w:val="1"/>
      <w:numFmt w:val="bullet"/>
      <w:lvlText w:val=""/>
      <w:lvlJc w:val="left"/>
      <w:pPr>
        <w:ind w:left="360" w:hanging="360"/>
      </w:pPr>
      <w:rPr>
        <w:rFonts w:ascii="Calibri" w:hAnsi="Calibri" w:hint="default"/>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Calibri" w:hAnsi="Calibri"/>
      </w:rPr>
    </w:lvl>
    <w:lvl w:ilvl="3">
      <w:start w:val="1"/>
      <w:numFmt w:val="bullet"/>
      <w:lvlText w:val=""/>
      <w:lvlJc w:val="left"/>
      <w:pPr>
        <w:ind w:left="1440" w:hanging="360"/>
      </w:pPr>
      <w:rPr>
        <w:rFonts w:ascii="Calibri" w:hAnsi="Calibr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5DF24CA5"/>
    <w:multiLevelType w:val="hybridMultilevel"/>
    <w:tmpl w:val="1B5E3FC2"/>
    <w:lvl w:ilvl="0" w:tplc="0C09000F">
      <w:start w:val="1"/>
      <w:numFmt w:val="decimal"/>
      <w:lvlText w:val="%1."/>
      <w:lvlJc w:val="left"/>
      <w:pPr>
        <w:ind w:left="328" w:hanging="360"/>
      </w:pPr>
    </w:lvl>
    <w:lvl w:ilvl="1" w:tplc="0C090019">
      <w:start w:val="1"/>
      <w:numFmt w:val="decimal"/>
      <w:lvlText w:val="%2."/>
      <w:lvlJc w:val="left"/>
      <w:pPr>
        <w:tabs>
          <w:tab w:val="num" w:pos="1048"/>
        </w:tabs>
        <w:ind w:left="1048" w:hanging="360"/>
      </w:pPr>
    </w:lvl>
    <w:lvl w:ilvl="2" w:tplc="0C09001B">
      <w:start w:val="1"/>
      <w:numFmt w:val="decimal"/>
      <w:lvlText w:val="%3."/>
      <w:lvlJc w:val="left"/>
      <w:pPr>
        <w:tabs>
          <w:tab w:val="num" w:pos="1768"/>
        </w:tabs>
        <w:ind w:left="1768" w:hanging="360"/>
      </w:pPr>
    </w:lvl>
    <w:lvl w:ilvl="3" w:tplc="0C09000F">
      <w:start w:val="1"/>
      <w:numFmt w:val="decimal"/>
      <w:lvlText w:val="%4."/>
      <w:lvlJc w:val="left"/>
      <w:pPr>
        <w:tabs>
          <w:tab w:val="num" w:pos="2488"/>
        </w:tabs>
        <w:ind w:left="2488" w:hanging="360"/>
      </w:pPr>
    </w:lvl>
    <w:lvl w:ilvl="4" w:tplc="0C090019">
      <w:start w:val="1"/>
      <w:numFmt w:val="decimal"/>
      <w:lvlText w:val="%5."/>
      <w:lvlJc w:val="left"/>
      <w:pPr>
        <w:tabs>
          <w:tab w:val="num" w:pos="3208"/>
        </w:tabs>
        <w:ind w:left="3208" w:hanging="360"/>
      </w:pPr>
    </w:lvl>
    <w:lvl w:ilvl="5" w:tplc="0C09001B">
      <w:start w:val="1"/>
      <w:numFmt w:val="decimal"/>
      <w:lvlText w:val="%6."/>
      <w:lvlJc w:val="left"/>
      <w:pPr>
        <w:tabs>
          <w:tab w:val="num" w:pos="3928"/>
        </w:tabs>
        <w:ind w:left="3928" w:hanging="360"/>
      </w:pPr>
    </w:lvl>
    <w:lvl w:ilvl="6" w:tplc="0C09000F">
      <w:start w:val="1"/>
      <w:numFmt w:val="decimal"/>
      <w:lvlText w:val="%7."/>
      <w:lvlJc w:val="left"/>
      <w:pPr>
        <w:tabs>
          <w:tab w:val="num" w:pos="4648"/>
        </w:tabs>
        <w:ind w:left="4648" w:hanging="360"/>
      </w:pPr>
    </w:lvl>
    <w:lvl w:ilvl="7" w:tplc="0C090019">
      <w:start w:val="1"/>
      <w:numFmt w:val="decimal"/>
      <w:lvlText w:val="%8."/>
      <w:lvlJc w:val="left"/>
      <w:pPr>
        <w:tabs>
          <w:tab w:val="num" w:pos="5368"/>
        </w:tabs>
        <w:ind w:left="5368" w:hanging="360"/>
      </w:pPr>
    </w:lvl>
    <w:lvl w:ilvl="8" w:tplc="0C09001B">
      <w:start w:val="1"/>
      <w:numFmt w:val="decimal"/>
      <w:lvlText w:val="%9."/>
      <w:lvlJc w:val="left"/>
      <w:pPr>
        <w:tabs>
          <w:tab w:val="num" w:pos="6088"/>
        </w:tabs>
        <w:ind w:left="6088" w:hanging="360"/>
      </w:pPr>
    </w:lvl>
  </w:abstractNum>
  <w:abstractNum w:abstractNumId="12">
    <w:nsid w:val="622336B8"/>
    <w:multiLevelType w:val="hybridMultilevel"/>
    <w:tmpl w:val="D20CBEF4"/>
    <w:lvl w:ilvl="0" w:tplc="04090001">
      <w:start w:val="1"/>
      <w:numFmt w:val="bullet"/>
      <w:lvlText w:val=""/>
      <w:lvlJc w:val="left"/>
      <w:pPr>
        <w:ind w:left="1080" w:hanging="360"/>
      </w:pPr>
      <w:rPr>
        <w:rFonts w:ascii="Wingdings" w:hAnsi="Wingdings" w:hint="default"/>
        <w:color w:val="31849B"/>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F3D1E64"/>
    <w:multiLevelType w:val="singleLevel"/>
    <w:tmpl w:val="0809000F"/>
    <w:lvl w:ilvl="0">
      <w:start w:val="1"/>
      <w:numFmt w:val="decimal"/>
      <w:lvlText w:val="%1."/>
      <w:lvlJc w:val="left"/>
      <w:pPr>
        <w:tabs>
          <w:tab w:val="num" w:pos="360"/>
        </w:tabs>
        <w:ind w:left="360" w:hanging="360"/>
      </w:pPr>
    </w:lvl>
  </w:abstractNum>
  <w:num w:numId="1">
    <w:abstractNumId w:val="2"/>
  </w:num>
  <w:num w:numId="2">
    <w:abstractNumId w:val="7"/>
  </w:num>
  <w:num w:numId="3">
    <w:abstractNumId w:val="3"/>
  </w:num>
  <w:num w:numId="4">
    <w:abstractNumId w:val="10"/>
  </w:num>
  <w:num w:numId="5">
    <w:abstractNumId w:val="13"/>
  </w:num>
  <w:num w:numId="6">
    <w:abstractNumId w:val="1"/>
  </w:num>
  <w:num w:numId="7">
    <w:abstractNumId w:val="12"/>
  </w:num>
  <w:num w:numId="8">
    <w:abstractNumId w:val="4"/>
  </w:num>
  <w:num w:numId="9">
    <w:abstractNumId w:val="5"/>
  </w:num>
  <w:num w:numId="10">
    <w:abstractNumId w:val="6"/>
  </w:num>
  <w:num w:numId="11">
    <w:abstractNumId w:val="8"/>
  </w:num>
  <w:num w:numId="12">
    <w:abstractNumId w:val="9"/>
  </w:num>
  <w:num w:numId="13">
    <w:abstractNumId w:val="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displayBackgroundShape/>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rsids>
    <w:rsidRoot w:val="00F227A1"/>
    <w:rsid w:val="00000DD7"/>
    <w:rsid w:val="00013853"/>
    <w:rsid w:val="00017F75"/>
    <w:rsid w:val="00020F9D"/>
    <w:rsid w:val="0002454B"/>
    <w:rsid w:val="00025D88"/>
    <w:rsid w:val="00033DC2"/>
    <w:rsid w:val="00042726"/>
    <w:rsid w:val="00057A30"/>
    <w:rsid w:val="00060655"/>
    <w:rsid w:val="0006439D"/>
    <w:rsid w:val="0007224B"/>
    <w:rsid w:val="00074B0E"/>
    <w:rsid w:val="00084467"/>
    <w:rsid w:val="000849D6"/>
    <w:rsid w:val="0009727A"/>
    <w:rsid w:val="000A37A8"/>
    <w:rsid w:val="000A438F"/>
    <w:rsid w:val="000A51DC"/>
    <w:rsid w:val="000A56D6"/>
    <w:rsid w:val="000A7A2C"/>
    <w:rsid w:val="000B0AB5"/>
    <w:rsid w:val="000B37A1"/>
    <w:rsid w:val="000B3E3D"/>
    <w:rsid w:val="000C21D9"/>
    <w:rsid w:val="000C3A06"/>
    <w:rsid w:val="000D4F20"/>
    <w:rsid w:val="000D5A9A"/>
    <w:rsid w:val="000D739B"/>
    <w:rsid w:val="000F1E5E"/>
    <w:rsid w:val="000F4733"/>
    <w:rsid w:val="000F75E9"/>
    <w:rsid w:val="000F7C6E"/>
    <w:rsid w:val="001057D5"/>
    <w:rsid w:val="00105F72"/>
    <w:rsid w:val="00107BE6"/>
    <w:rsid w:val="00115CBA"/>
    <w:rsid w:val="00116B5E"/>
    <w:rsid w:val="00121611"/>
    <w:rsid w:val="00122F73"/>
    <w:rsid w:val="0012706F"/>
    <w:rsid w:val="00132799"/>
    <w:rsid w:val="00134236"/>
    <w:rsid w:val="00134558"/>
    <w:rsid w:val="00136F31"/>
    <w:rsid w:val="0014417A"/>
    <w:rsid w:val="001458AC"/>
    <w:rsid w:val="00146748"/>
    <w:rsid w:val="001708CB"/>
    <w:rsid w:val="00176766"/>
    <w:rsid w:val="00191232"/>
    <w:rsid w:val="001953FD"/>
    <w:rsid w:val="001961BC"/>
    <w:rsid w:val="001A01D2"/>
    <w:rsid w:val="001B1DBD"/>
    <w:rsid w:val="001B6714"/>
    <w:rsid w:val="001C087A"/>
    <w:rsid w:val="001D0501"/>
    <w:rsid w:val="001D46F4"/>
    <w:rsid w:val="001E1768"/>
    <w:rsid w:val="001E23C3"/>
    <w:rsid w:val="001F075E"/>
    <w:rsid w:val="00206ADB"/>
    <w:rsid w:val="0021118D"/>
    <w:rsid w:val="00211611"/>
    <w:rsid w:val="00217C1B"/>
    <w:rsid w:val="00235098"/>
    <w:rsid w:val="00266701"/>
    <w:rsid w:val="00273844"/>
    <w:rsid w:val="00274640"/>
    <w:rsid w:val="0028388B"/>
    <w:rsid w:val="002957D6"/>
    <w:rsid w:val="002A123F"/>
    <w:rsid w:val="002A7040"/>
    <w:rsid w:val="002C16D3"/>
    <w:rsid w:val="002C25EC"/>
    <w:rsid w:val="002D50B8"/>
    <w:rsid w:val="002D5187"/>
    <w:rsid w:val="002D536D"/>
    <w:rsid w:val="002E36FD"/>
    <w:rsid w:val="002E374E"/>
    <w:rsid w:val="002E57DB"/>
    <w:rsid w:val="002F16AE"/>
    <w:rsid w:val="002F43E3"/>
    <w:rsid w:val="002F479F"/>
    <w:rsid w:val="002F5EE4"/>
    <w:rsid w:val="003038C1"/>
    <w:rsid w:val="003043A3"/>
    <w:rsid w:val="00305E02"/>
    <w:rsid w:val="0031471A"/>
    <w:rsid w:val="00325084"/>
    <w:rsid w:val="00330576"/>
    <w:rsid w:val="00331508"/>
    <w:rsid w:val="00335904"/>
    <w:rsid w:val="00357AFF"/>
    <w:rsid w:val="00360040"/>
    <w:rsid w:val="00373CA6"/>
    <w:rsid w:val="00382C77"/>
    <w:rsid w:val="00384E6F"/>
    <w:rsid w:val="0039071F"/>
    <w:rsid w:val="003A4303"/>
    <w:rsid w:val="003C4A02"/>
    <w:rsid w:val="003D5246"/>
    <w:rsid w:val="003D5F89"/>
    <w:rsid w:val="003D65A3"/>
    <w:rsid w:val="003D7EF1"/>
    <w:rsid w:val="003E52C8"/>
    <w:rsid w:val="003F313E"/>
    <w:rsid w:val="003F64C9"/>
    <w:rsid w:val="00401ED0"/>
    <w:rsid w:val="0040318C"/>
    <w:rsid w:val="004055D8"/>
    <w:rsid w:val="004063EC"/>
    <w:rsid w:val="00413A04"/>
    <w:rsid w:val="004150FB"/>
    <w:rsid w:val="00426980"/>
    <w:rsid w:val="004377C9"/>
    <w:rsid w:val="00450F22"/>
    <w:rsid w:val="00471AED"/>
    <w:rsid w:val="004847DC"/>
    <w:rsid w:val="004876E9"/>
    <w:rsid w:val="004B2869"/>
    <w:rsid w:val="004B715A"/>
    <w:rsid w:val="004C0C78"/>
    <w:rsid w:val="004D7116"/>
    <w:rsid w:val="004E6A62"/>
    <w:rsid w:val="004F1321"/>
    <w:rsid w:val="00505F1C"/>
    <w:rsid w:val="0051000B"/>
    <w:rsid w:val="00513A8F"/>
    <w:rsid w:val="00515B9A"/>
    <w:rsid w:val="00516339"/>
    <w:rsid w:val="00516873"/>
    <w:rsid w:val="00524F95"/>
    <w:rsid w:val="00525682"/>
    <w:rsid w:val="00550190"/>
    <w:rsid w:val="00552237"/>
    <w:rsid w:val="00564276"/>
    <w:rsid w:val="005679C1"/>
    <w:rsid w:val="00570F00"/>
    <w:rsid w:val="00593A96"/>
    <w:rsid w:val="00594D18"/>
    <w:rsid w:val="005B5020"/>
    <w:rsid w:val="005B59E2"/>
    <w:rsid w:val="005C0A2D"/>
    <w:rsid w:val="005C5BDE"/>
    <w:rsid w:val="005D2D4C"/>
    <w:rsid w:val="005E0316"/>
    <w:rsid w:val="00612A61"/>
    <w:rsid w:val="00614F7C"/>
    <w:rsid w:val="006238FD"/>
    <w:rsid w:val="0063511A"/>
    <w:rsid w:val="00635D93"/>
    <w:rsid w:val="006463B7"/>
    <w:rsid w:val="00653198"/>
    <w:rsid w:val="006543FE"/>
    <w:rsid w:val="006550D0"/>
    <w:rsid w:val="0066758D"/>
    <w:rsid w:val="00673DF5"/>
    <w:rsid w:val="00675B61"/>
    <w:rsid w:val="0068175B"/>
    <w:rsid w:val="00684D65"/>
    <w:rsid w:val="006871C5"/>
    <w:rsid w:val="0069400A"/>
    <w:rsid w:val="00695C9A"/>
    <w:rsid w:val="006A2068"/>
    <w:rsid w:val="006B5EEB"/>
    <w:rsid w:val="006C0B89"/>
    <w:rsid w:val="006D62E0"/>
    <w:rsid w:val="006E1216"/>
    <w:rsid w:val="006E38BE"/>
    <w:rsid w:val="006E5F89"/>
    <w:rsid w:val="006E681D"/>
    <w:rsid w:val="006F166F"/>
    <w:rsid w:val="006F3EA3"/>
    <w:rsid w:val="00701888"/>
    <w:rsid w:val="0070402C"/>
    <w:rsid w:val="007101E5"/>
    <w:rsid w:val="00721A91"/>
    <w:rsid w:val="00723017"/>
    <w:rsid w:val="00726BEF"/>
    <w:rsid w:val="00741B4B"/>
    <w:rsid w:val="00752C85"/>
    <w:rsid w:val="00775125"/>
    <w:rsid w:val="00780550"/>
    <w:rsid w:val="00780634"/>
    <w:rsid w:val="00782F05"/>
    <w:rsid w:val="007972B0"/>
    <w:rsid w:val="007A60C3"/>
    <w:rsid w:val="007B0074"/>
    <w:rsid w:val="007B1E3A"/>
    <w:rsid w:val="007B266E"/>
    <w:rsid w:val="007B4EE9"/>
    <w:rsid w:val="007C4ABA"/>
    <w:rsid w:val="007D58D8"/>
    <w:rsid w:val="007E3BFB"/>
    <w:rsid w:val="007F675C"/>
    <w:rsid w:val="008136D8"/>
    <w:rsid w:val="00814AC6"/>
    <w:rsid w:val="0081616D"/>
    <w:rsid w:val="008245EC"/>
    <w:rsid w:val="00825D6D"/>
    <w:rsid w:val="00835404"/>
    <w:rsid w:val="008514E6"/>
    <w:rsid w:val="00853C22"/>
    <w:rsid w:val="00854171"/>
    <w:rsid w:val="008612CA"/>
    <w:rsid w:val="00863350"/>
    <w:rsid w:val="00864C7A"/>
    <w:rsid w:val="00866CDA"/>
    <w:rsid w:val="00867075"/>
    <w:rsid w:val="00867556"/>
    <w:rsid w:val="00873D29"/>
    <w:rsid w:val="008749C2"/>
    <w:rsid w:val="00884029"/>
    <w:rsid w:val="00892764"/>
    <w:rsid w:val="0089365A"/>
    <w:rsid w:val="008A6B70"/>
    <w:rsid w:val="008B6FB2"/>
    <w:rsid w:val="008C0AFD"/>
    <w:rsid w:val="008C23EF"/>
    <w:rsid w:val="008D0B73"/>
    <w:rsid w:val="008D352D"/>
    <w:rsid w:val="008D516A"/>
    <w:rsid w:val="008D7188"/>
    <w:rsid w:val="008E038B"/>
    <w:rsid w:val="008E3316"/>
    <w:rsid w:val="009263A0"/>
    <w:rsid w:val="00930C1C"/>
    <w:rsid w:val="00930EED"/>
    <w:rsid w:val="0094718D"/>
    <w:rsid w:val="00956E6D"/>
    <w:rsid w:val="00972649"/>
    <w:rsid w:val="009733DE"/>
    <w:rsid w:val="00975668"/>
    <w:rsid w:val="00976A2C"/>
    <w:rsid w:val="00982BE3"/>
    <w:rsid w:val="009B0F4B"/>
    <w:rsid w:val="009C3271"/>
    <w:rsid w:val="009D28AB"/>
    <w:rsid w:val="009D3B4F"/>
    <w:rsid w:val="009D546E"/>
    <w:rsid w:val="009D691F"/>
    <w:rsid w:val="009E0EC5"/>
    <w:rsid w:val="009E4936"/>
    <w:rsid w:val="009F20DE"/>
    <w:rsid w:val="00A02F28"/>
    <w:rsid w:val="00A10C49"/>
    <w:rsid w:val="00A1357C"/>
    <w:rsid w:val="00A14141"/>
    <w:rsid w:val="00A20916"/>
    <w:rsid w:val="00A21D30"/>
    <w:rsid w:val="00A22125"/>
    <w:rsid w:val="00A22573"/>
    <w:rsid w:val="00A262ED"/>
    <w:rsid w:val="00A31988"/>
    <w:rsid w:val="00A34CFE"/>
    <w:rsid w:val="00A45B35"/>
    <w:rsid w:val="00A522BF"/>
    <w:rsid w:val="00A5458F"/>
    <w:rsid w:val="00A6428A"/>
    <w:rsid w:val="00A75B74"/>
    <w:rsid w:val="00A7681C"/>
    <w:rsid w:val="00A8709F"/>
    <w:rsid w:val="00A90400"/>
    <w:rsid w:val="00A90AB9"/>
    <w:rsid w:val="00A90DB5"/>
    <w:rsid w:val="00A95AA7"/>
    <w:rsid w:val="00A9712A"/>
    <w:rsid w:val="00A976C9"/>
    <w:rsid w:val="00AB0078"/>
    <w:rsid w:val="00AB6D9F"/>
    <w:rsid w:val="00AC40C8"/>
    <w:rsid w:val="00AD02F7"/>
    <w:rsid w:val="00AD0D64"/>
    <w:rsid w:val="00AD3E36"/>
    <w:rsid w:val="00AD7805"/>
    <w:rsid w:val="00AE33C7"/>
    <w:rsid w:val="00AE4887"/>
    <w:rsid w:val="00AE5B57"/>
    <w:rsid w:val="00B0458B"/>
    <w:rsid w:val="00B05314"/>
    <w:rsid w:val="00B144FF"/>
    <w:rsid w:val="00B15547"/>
    <w:rsid w:val="00B16691"/>
    <w:rsid w:val="00B2321C"/>
    <w:rsid w:val="00B23B15"/>
    <w:rsid w:val="00B6328F"/>
    <w:rsid w:val="00B67AAB"/>
    <w:rsid w:val="00B72D91"/>
    <w:rsid w:val="00B76B7E"/>
    <w:rsid w:val="00B80256"/>
    <w:rsid w:val="00B825BD"/>
    <w:rsid w:val="00B84203"/>
    <w:rsid w:val="00B91D77"/>
    <w:rsid w:val="00B95B76"/>
    <w:rsid w:val="00B974E5"/>
    <w:rsid w:val="00BA38E6"/>
    <w:rsid w:val="00BB0B21"/>
    <w:rsid w:val="00BB6B8D"/>
    <w:rsid w:val="00BC1186"/>
    <w:rsid w:val="00BD087B"/>
    <w:rsid w:val="00BE3E4E"/>
    <w:rsid w:val="00BE637E"/>
    <w:rsid w:val="00BE63B0"/>
    <w:rsid w:val="00BE6C3A"/>
    <w:rsid w:val="00BF35EC"/>
    <w:rsid w:val="00BF578C"/>
    <w:rsid w:val="00C002FA"/>
    <w:rsid w:val="00C05D88"/>
    <w:rsid w:val="00C13832"/>
    <w:rsid w:val="00C17E21"/>
    <w:rsid w:val="00C23339"/>
    <w:rsid w:val="00C233D1"/>
    <w:rsid w:val="00C34A8E"/>
    <w:rsid w:val="00C34C1A"/>
    <w:rsid w:val="00C36EF5"/>
    <w:rsid w:val="00C4101E"/>
    <w:rsid w:val="00C418FD"/>
    <w:rsid w:val="00C43263"/>
    <w:rsid w:val="00C51BD0"/>
    <w:rsid w:val="00C55EDA"/>
    <w:rsid w:val="00C56F0D"/>
    <w:rsid w:val="00C602CC"/>
    <w:rsid w:val="00C638AD"/>
    <w:rsid w:val="00C64A09"/>
    <w:rsid w:val="00C71C00"/>
    <w:rsid w:val="00C82E46"/>
    <w:rsid w:val="00C858F4"/>
    <w:rsid w:val="00C87FA3"/>
    <w:rsid w:val="00C906F4"/>
    <w:rsid w:val="00CA3D19"/>
    <w:rsid w:val="00CB07FD"/>
    <w:rsid w:val="00CC5A4E"/>
    <w:rsid w:val="00CC6DE0"/>
    <w:rsid w:val="00CE440C"/>
    <w:rsid w:val="00CE486C"/>
    <w:rsid w:val="00CF00D6"/>
    <w:rsid w:val="00D02776"/>
    <w:rsid w:val="00D0623C"/>
    <w:rsid w:val="00D14452"/>
    <w:rsid w:val="00D149A6"/>
    <w:rsid w:val="00D33D1C"/>
    <w:rsid w:val="00D4188A"/>
    <w:rsid w:val="00D45AE9"/>
    <w:rsid w:val="00D57871"/>
    <w:rsid w:val="00D60D1E"/>
    <w:rsid w:val="00D63C32"/>
    <w:rsid w:val="00D63CED"/>
    <w:rsid w:val="00D64EA6"/>
    <w:rsid w:val="00D66B35"/>
    <w:rsid w:val="00D718C4"/>
    <w:rsid w:val="00D9199D"/>
    <w:rsid w:val="00DA1A70"/>
    <w:rsid w:val="00DA1C63"/>
    <w:rsid w:val="00DA430D"/>
    <w:rsid w:val="00DA5F18"/>
    <w:rsid w:val="00DA726E"/>
    <w:rsid w:val="00DC0E89"/>
    <w:rsid w:val="00DC3F94"/>
    <w:rsid w:val="00DC664A"/>
    <w:rsid w:val="00DD2EDB"/>
    <w:rsid w:val="00DE4F2B"/>
    <w:rsid w:val="00DE67EB"/>
    <w:rsid w:val="00DF7CE6"/>
    <w:rsid w:val="00E00DC7"/>
    <w:rsid w:val="00E32429"/>
    <w:rsid w:val="00E33230"/>
    <w:rsid w:val="00E33A05"/>
    <w:rsid w:val="00E454FE"/>
    <w:rsid w:val="00E501C7"/>
    <w:rsid w:val="00E55263"/>
    <w:rsid w:val="00E573CE"/>
    <w:rsid w:val="00E60B4A"/>
    <w:rsid w:val="00E627B4"/>
    <w:rsid w:val="00E67B5E"/>
    <w:rsid w:val="00E73A88"/>
    <w:rsid w:val="00E873CF"/>
    <w:rsid w:val="00EA05F3"/>
    <w:rsid w:val="00EA394F"/>
    <w:rsid w:val="00EA6801"/>
    <w:rsid w:val="00EB3271"/>
    <w:rsid w:val="00EB5120"/>
    <w:rsid w:val="00EB706B"/>
    <w:rsid w:val="00EC7473"/>
    <w:rsid w:val="00ED4656"/>
    <w:rsid w:val="00EE00DE"/>
    <w:rsid w:val="00EF4B7A"/>
    <w:rsid w:val="00EF5BB8"/>
    <w:rsid w:val="00F017A4"/>
    <w:rsid w:val="00F046D5"/>
    <w:rsid w:val="00F0626D"/>
    <w:rsid w:val="00F0649C"/>
    <w:rsid w:val="00F06C8D"/>
    <w:rsid w:val="00F106E4"/>
    <w:rsid w:val="00F115B1"/>
    <w:rsid w:val="00F164FF"/>
    <w:rsid w:val="00F16E21"/>
    <w:rsid w:val="00F17E80"/>
    <w:rsid w:val="00F227A1"/>
    <w:rsid w:val="00F228DE"/>
    <w:rsid w:val="00F415A7"/>
    <w:rsid w:val="00F4708B"/>
    <w:rsid w:val="00F501FF"/>
    <w:rsid w:val="00F728A1"/>
    <w:rsid w:val="00F75DB0"/>
    <w:rsid w:val="00F80890"/>
    <w:rsid w:val="00F81C82"/>
    <w:rsid w:val="00F87712"/>
    <w:rsid w:val="00F9178C"/>
    <w:rsid w:val="00F9293B"/>
    <w:rsid w:val="00F94000"/>
    <w:rsid w:val="00FB3211"/>
    <w:rsid w:val="00FB380F"/>
    <w:rsid w:val="00FB38F6"/>
    <w:rsid w:val="00FC2892"/>
    <w:rsid w:val="00FC4036"/>
    <w:rsid w:val="00FC71DE"/>
    <w:rsid w:val="00FE4800"/>
    <w:rsid w:val="00FF664F"/>
    <w:rsid w:val="00FF768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Bullet" w:uiPriority="0"/>
    <w:lsdException w:name="Title" w:semiHidden="0" w:uiPriority="10" w:unhideWhenUsed="0"/>
    <w:lsdException w:name="Default Paragraph Font" w:uiPriority="1"/>
    <w:lsdException w:name="Body Text" w:uiPriority="0"/>
    <w:lsdException w:name="Subtitle" w:semiHidden="0" w:uiPriority="11" w:unhideWhenUsed="0"/>
    <w:lsdException w:name="Body Text 2" w:uiPriority="0"/>
    <w:lsdException w:name="Body Text 3" w:uiPriority="0"/>
    <w:lsdException w:name="FollowedHyperlink" w:uiPriority="0"/>
    <w:lsdException w:name="Strong" w:semiHidden="0" w:uiPriority="22" w:unhideWhenUsed="0"/>
    <w:lsdException w:name="Emphasis" w:semiHidden="0" w:uiPriority="20" w:unhideWhenUsed="0" w:qFormat="1"/>
    <w:lsdException w:name="annotation subject" w:uiPriority="0"/>
    <w:lsdException w:name="Table Simple 1"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6B5EEB"/>
    <w:pPr>
      <w:spacing w:after="200" w:line="276" w:lineRule="auto"/>
    </w:pPr>
    <w:rPr>
      <w:sz w:val="22"/>
      <w:szCs w:val="22"/>
      <w:lang w:eastAsia="en-US"/>
    </w:rPr>
  </w:style>
  <w:style w:type="paragraph" w:styleId="Heading1">
    <w:name w:val="heading 1"/>
    <w:basedOn w:val="Normal"/>
    <w:next w:val="Normal"/>
    <w:link w:val="Heading1Char"/>
    <w:rsid w:val="00F80890"/>
    <w:pPr>
      <w:keepNext/>
      <w:tabs>
        <w:tab w:val="left" w:pos="397"/>
      </w:tabs>
      <w:spacing w:before="240" w:after="60" w:line="240" w:lineRule="auto"/>
      <w:jc w:val="both"/>
      <w:outlineLvl w:val="0"/>
    </w:pPr>
    <w:rPr>
      <w:rFonts w:ascii="Arial" w:eastAsia="Times New Roman" w:hAnsi="Arial"/>
      <w:b/>
      <w:kern w:val="28"/>
      <w:sz w:val="28"/>
      <w:szCs w:val="20"/>
    </w:rPr>
  </w:style>
  <w:style w:type="paragraph" w:styleId="Heading2">
    <w:name w:val="heading 2"/>
    <w:basedOn w:val="Normal"/>
    <w:next w:val="Normal"/>
    <w:link w:val="Heading2Char"/>
    <w:rsid w:val="00F80890"/>
    <w:pPr>
      <w:keepNext/>
      <w:tabs>
        <w:tab w:val="left" w:pos="397"/>
      </w:tabs>
      <w:spacing w:before="120" w:after="120" w:line="240" w:lineRule="auto"/>
      <w:ind w:right="-766"/>
      <w:jc w:val="right"/>
      <w:outlineLvl w:val="1"/>
    </w:pPr>
    <w:rPr>
      <w:rFonts w:ascii="Times New Roman" w:eastAsia="Times New Roman" w:hAnsi="Times New Roman"/>
      <w:b/>
      <w:sz w:val="40"/>
      <w:szCs w:val="20"/>
    </w:rPr>
  </w:style>
  <w:style w:type="paragraph" w:styleId="Heading3">
    <w:name w:val="heading 3"/>
    <w:basedOn w:val="Normal"/>
    <w:next w:val="Normal"/>
    <w:link w:val="Heading3Char"/>
    <w:rsid w:val="00F80890"/>
    <w:pPr>
      <w:keepNext/>
      <w:tabs>
        <w:tab w:val="left" w:pos="397"/>
      </w:tabs>
      <w:spacing w:after="0" w:line="240" w:lineRule="auto"/>
      <w:ind w:right="-766"/>
      <w:jc w:val="right"/>
      <w:outlineLvl w:val="2"/>
    </w:pPr>
    <w:rPr>
      <w:rFonts w:ascii="Times New Roman" w:eastAsia="Times New Roman" w:hAnsi="Times New Roman"/>
      <w:b/>
      <w:sz w:val="32"/>
      <w:szCs w:val="20"/>
    </w:rPr>
  </w:style>
  <w:style w:type="paragraph" w:styleId="Heading4">
    <w:name w:val="heading 4"/>
    <w:basedOn w:val="Normal"/>
    <w:next w:val="Normal"/>
    <w:link w:val="Heading4Char"/>
    <w:rsid w:val="00F80890"/>
    <w:pPr>
      <w:keepNext/>
      <w:tabs>
        <w:tab w:val="left" w:pos="397"/>
      </w:tabs>
      <w:spacing w:after="0" w:line="240" w:lineRule="auto"/>
      <w:ind w:left="176"/>
      <w:jc w:val="both"/>
      <w:outlineLvl w:val="3"/>
    </w:pPr>
    <w:rPr>
      <w:rFonts w:ascii="Times New Roman" w:eastAsia="Times New Roman" w:hAnsi="Times New Roman"/>
      <w:i/>
      <w:sz w:val="24"/>
      <w:szCs w:val="20"/>
      <w:lang w:val="en-US"/>
    </w:rPr>
  </w:style>
  <w:style w:type="paragraph" w:styleId="Heading5">
    <w:name w:val="heading 5"/>
    <w:basedOn w:val="Normal"/>
    <w:next w:val="Normal"/>
    <w:link w:val="Heading5Char"/>
    <w:rsid w:val="00F80890"/>
    <w:pPr>
      <w:keepNext/>
      <w:tabs>
        <w:tab w:val="left" w:pos="397"/>
      </w:tabs>
      <w:spacing w:after="0" w:line="240" w:lineRule="auto"/>
      <w:ind w:left="176"/>
      <w:outlineLvl w:val="4"/>
    </w:pPr>
    <w:rPr>
      <w:rFonts w:ascii="Times New Roman" w:eastAsia="Times New Roman" w:hAnsi="Times New Roman"/>
      <w:i/>
      <w:sz w:val="20"/>
      <w:szCs w:val="20"/>
      <w:lang w:val="en-US"/>
    </w:rPr>
  </w:style>
  <w:style w:type="paragraph" w:styleId="Heading6">
    <w:name w:val="heading 6"/>
    <w:basedOn w:val="Normal"/>
    <w:next w:val="Normal"/>
    <w:link w:val="Heading6Char"/>
    <w:rsid w:val="00F80890"/>
    <w:pPr>
      <w:keepNext/>
      <w:tabs>
        <w:tab w:val="left" w:pos="397"/>
      </w:tabs>
      <w:spacing w:after="120" w:line="240" w:lineRule="auto"/>
      <w:ind w:left="176"/>
      <w:outlineLvl w:val="5"/>
    </w:pPr>
    <w:rPr>
      <w:rFonts w:ascii="Times New Roman" w:eastAsia="Times New Roman" w:hAnsi="Times New Roman"/>
      <w:i/>
      <w:sz w:val="24"/>
      <w:szCs w:val="20"/>
      <w:lang w:val="en-US"/>
    </w:rPr>
  </w:style>
  <w:style w:type="paragraph" w:styleId="Heading7">
    <w:name w:val="heading 7"/>
    <w:basedOn w:val="Normal"/>
    <w:next w:val="Normal"/>
    <w:link w:val="Heading7Char"/>
    <w:rsid w:val="00F80890"/>
    <w:pPr>
      <w:keepNext/>
      <w:spacing w:before="120" w:after="0" w:line="240" w:lineRule="auto"/>
      <w:ind w:left="176"/>
      <w:outlineLvl w:val="6"/>
    </w:pPr>
    <w:rPr>
      <w:rFonts w:ascii="Times New Roman" w:eastAsia="Times New Roman" w:hAnsi="Times New Roman"/>
      <w:i/>
      <w:sz w:val="18"/>
      <w:szCs w:val="20"/>
    </w:rPr>
  </w:style>
  <w:style w:type="paragraph" w:styleId="Heading8">
    <w:name w:val="heading 8"/>
    <w:basedOn w:val="Normal"/>
    <w:next w:val="Normal"/>
    <w:link w:val="Heading8Char"/>
    <w:rsid w:val="00F80890"/>
    <w:pPr>
      <w:keepNext/>
      <w:tabs>
        <w:tab w:val="left" w:pos="397"/>
      </w:tabs>
      <w:spacing w:after="0" w:line="240" w:lineRule="auto"/>
      <w:jc w:val="right"/>
      <w:outlineLvl w:val="7"/>
    </w:pPr>
    <w:rPr>
      <w:rFonts w:ascii="Times New Roman" w:eastAsia="Times New Roman" w:hAnsi="Times New Roman"/>
      <w:b/>
      <w:bCs/>
      <w:sz w:val="36"/>
      <w:szCs w:val="20"/>
    </w:rPr>
  </w:style>
  <w:style w:type="paragraph" w:styleId="Heading9">
    <w:name w:val="heading 9"/>
    <w:basedOn w:val="Normal"/>
    <w:next w:val="Normal"/>
    <w:link w:val="Heading9Char"/>
    <w:rsid w:val="00F80890"/>
    <w:pPr>
      <w:keepNext/>
      <w:tabs>
        <w:tab w:val="left" w:pos="397"/>
      </w:tabs>
      <w:spacing w:after="0" w:line="240" w:lineRule="auto"/>
      <w:jc w:val="right"/>
      <w:outlineLvl w:val="8"/>
    </w:pPr>
    <w:rPr>
      <w:rFonts w:ascii="Times New Roman" w:eastAsia="Times New Roman" w:hAnsi="Times New Roman"/>
      <w:b/>
      <w:b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D4F20"/>
    <w:pPr>
      <w:spacing w:after="0" w:line="240" w:lineRule="auto"/>
    </w:pPr>
    <w:rPr>
      <w:rFonts w:ascii="Tahoma" w:hAnsi="Tahoma" w:cs="Tahoma"/>
      <w:sz w:val="16"/>
      <w:szCs w:val="16"/>
    </w:rPr>
  </w:style>
  <w:style w:type="paragraph" w:customStyle="1" w:styleId="MJAheading1">
    <w:name w:val="MJA heading 1"/>
    <w:basedOn w:val="MJAnormal"/>
    <w:next w:val="MJAnormal"/>
    <w:qFormat/>
    <w:rsid w:val="00EE00DE"/>
    <w:pPr>
      <w:numPr>
        <w:numId w:val="1"/>
      </w:numPr>
      <w:pBdr>
        <w:bottom w:val="single" w:sz="18" w:space="1" w:color="0093D0"/>
      </w:pBdr>
      <w:tabs>
        <w:tab w:val="left" w:pos="425"/>
        <w:tab w:val="left" w:pos="709"/>
      </w:tabs>
      <w:spacing w:before="0" w:after="360" w:line="240" w:lineRule="auto"/>
      <w:outlineLvl w:val="0"/>
    </w:pPr>
    <w:rPr>
      <w:rFonts w:ascii="Corbel" w:hAnsi="Corbel"/>
      <w:color w:val="0093D0"/>
      <w:sz w:val="44"/>
    </w:rPr>
  </w:style>
  <w:style w:type="paragraph" w:customStyle="1" w:styleId="MJAheading2">
    <w:name w:val="MJA heading 2"/>
    <w:basedOn w:val="Normal"/>
    <w:next w:val="MJAnormal"/>
    <w:qFormat/>
    <w:rsid w:val="00EE00DE"/>
    <w:pPr>
      <w:keepNext/>
      <w:keepLines/>
      <w:numPr>
        <w:ilvl w:val="1"/>
        <w:numId w:val="1"/>
      </w:numPr>
      <w:pBdr>
        <w:bottom w:val="single" w:sz="12" w:space="1" w:color="0093D0"/>
      </w:pBdr>
      <w:tabs>
        <w:tab w:val="left" w:pos="709"/>
      </w:tabs>
      <w:spacing w:before="360" w:after="240" w:line="240" w:lineRule="auto"/>
      <w:outlineLvl w:val="1"/>
    </w:pPr>
    <w:rPr>
      <w:rFonts w:ascii="Corbel" w:hAnsi="Corbel"/>
      <w:color w:val="0093D0"/>
      <w:sz w:val="32"/>
    </w:rPr>
  </w:style>
  <w:style w:type="paragraph" w:customStyle="1" w:styleId="MJAheading3">
    <w:name w:val="MJA heading 3"/>
    <w:basedOn w:val="MJAnormal"/>
    <w:next w:val="MJAnormal"/>
    <w:qFormat/>
    <w:rsid w:val="002C25EC"/>
    <w:pPr>
      <w:keepNext/>
      <w:keepLines/>
      <w:numPr>
        <w:ilvl w:val="2"/>
        <w:numId w:val="1"/>
      </w:numPr>
      <w:tabs>
        <w:tab w:val="left" w:pos="709"/>
      </w:tabs>
      <w:spacing w:before="360" w:line="240" w:lineRule="auto"/>
    </w:pPr>
    <w:rPr>
      <w:rFonts w:ascii="Corbel" w:hAnsi="Corbel"/>
      <w:color w:val="0093D0"/>
      <w:sz w:val="24"/>
    </w:rPr>
  </w:style>
  <w:style w:type="paragraph" w:customStyle="1" w:styleId="MJATableRow">
    <w:name w:val="MJA Table Row"/>
    <w:basedOn w:val="Normal"/>
    <w:qFormat/>
    <w:rsid w:val="00F728A1"/>
    <w:pPr>
      <w:spacing w:before="60" w:after="60" w:line="240" w:lineRule="auto"/>
    </w:pPr>
    <w:rPr>
      <w:sz w:val="20"/>
    </w:rPr>
  </w:style>
  <w:style w:type="paragraph" w:customStyle="1" w:styleId="MJAsource">
    <w:name w:val="MJA source"/>
    <w:basedOn w:val="Normal"/>
    <w:next w:val="BalloonText"/>
    <w:qFormat/>
    <w:rsid w:val="00426980"/>
    <w:pPr>
      <w:spacing w:before="120" w:after="120" w:line="240" w:lineRule="auto"/>
    </w:pPr>
    <w:rPr>
      <w:i/>
      <w:sz w:val="18"/>
    </w:rPr>
  </w:style>
  <w:style w:type="paragraph" w:styleId="Caption">
    <w:name w:val="caption"/>
    <w:basedOn w:val="Normal"/>
    <w:next w:val="Normal"/>
    <w:uiPriority w:val="35"/>
    <w:unhideWhenUsed/>
    <w:qFormat/>
    <w:rsid w:val="008C23EF"/>
    <w:pPr>
      <w:keepNext/>
      <w:spacing w:before="120" w:after="120" w:line="240" w:lineRule="auto"/>
    </w:pPr>
    <w:rPr>
      <w:b/>
      <w:bCs/>
      <w:sz w:val="20"/>
      <w:szCs w:val="18"/>
    </w:rPr>
  </w:style>
  <w:style w:type="paragraph" w:styleId="NoSpacing">
    <w:name w:val="No Spacing"/>
    <w:uiPriority w:val="1"/>
    <w:rsid w:val="00FC4036"/>
    <w:rPr>
      <w:sz w:val="22"/>
      <w:szCs w:val="22"/>
      <w:lang w:eastAsia="en-US"/>
    </w:rPr>
  </w:style>
  <w:style w:type="table" w:styleId="TableGrid">
    <w:name w:val="Table Grid"/>
    <w:basedOn w:val="TableNormal"/>
    <w:uiPriority w:val="59"/>
    <w:rsid w:val="00F808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F80890"/>
    <w:rPr>
      <w:rFonts w:ascii="Arial" w:eastAsia="Times New Roman" w:hAnsi="Arial" w:cs="Times New Roman"/>
      <w:b/>
      <w:kern w:val="28"/>
      <w:sz w:val="28"/>
      <w:szCs w:val="20"/>
    </w:rPr>
  </w:style>
  <w:style w:type="character" w:customStyle="1" w:styleId="Heading2Char">
    <w:name w:val="Heading 2 Char"/>
    <w:basedOn w:val="DefaultParagraphFont"/>
    <w:link w:val="Heading2"/>
    <w:rsid w:val="00F80890"/>
    <w:rPr>
      <w:rFonts w:ascii="Times New Roman" w:eastAsia="Times New Roman" w:hAnsi="Times New Roman" w:cs="Times New Roman"/>
      <w:b/>
      <w:sz w:val="40"/>
      <w:szCs w:val="20"/>
    </w:rPr>
  </w:style>
  <w:style w:type="character" w:customStyle="1" w:styleId="Heading3Char">
    <w:name w:val="Heading 3 Char"/>
    <w:basedOn w:val="DefaultParagraphFont"/>
    <w:link w:val="Heading3"/>
    <w:rsid w:val="00F80890"/>
    <w:rPr>
      <w:rFonts w:ascii="Times New Roman" w:eastAsia="Times New Roman" w:hAnsi="Times New Roman" w:cs="Times New Roman"/>
      <w:b/>
      <w:sz w:val="32"/>
      <w:szCs w:val="20"/>
    </w:rPr>
  </w:style>
  <w:style w:type="character" w:customStyle="1" w:styleId="Heading4Char">
    <w:name w:val="Heading 4 Char"/>
    <w:basedOn w:val="DefaultParagraphFont"/>
    <w:link w:val="Heading4"/>
    <w:rsid w:val="00F80890"/>
    <w:rPr>
      <w:rFonts w:ascii="Times New Roman" w:eastAsia="Times New Roman" w:hAnsi="Times New Roman" w:cs="Times New Roman"/>
      <w:i/>
      <w:sz w:val="24"/>
      <w:szCs w:val="20"/>
      <w:lang w:val="en-US"/>
    </w:rPr>
  </w:style>
  <w:style w:type="character" w:customStyle="1" w:styleId="Heading5Char">
    <w:name w:val="Heading 5 Char"/>
    <w:basedOn w:val="DefaultParagraphFont"/>
    <w:link w:val="Heading5"/>
    <w:rsid w:val="00F80890"/>
    <w:rPr>
      <w:rFonts w:ascii="Times New Roman" w:eastAsia="Times New Roman" w:hAnsi="Times New Roman" w:cs="Times New Roman"/>
      <w:i/>
      <w:sz w:val="20"/>
      <w:szCs w:val="20"/>
      <w:lang w:val="en-US"/>
    </w:rPr>
  </w:style>
  <w:style w:type="character" w:customStyle="1" w:styleId="Heading6Char">
    <w:name w:val="Heading 6 Char"/>
    <w:basedOn w:val="DefaultParagraphFont"/>
    <w:link w:val="Heading6"/>
    <w:rsid w:val="00F80890"/>
    <w:rPr>
      <w:rFonts w:ascii="Times New Roman" w:eastAsia="Times New Roman" w:hAnsi="Times New Roman" w:cs="Times New Roman"/>
      <w:i/>
      <w:sz w:val="24"/>
      <w:szCs w:val="20"/>
      <w:lang w:val="en-US"/>
    </w:rPr>
  </w:style>
  <w:style w:type="character" w:customStyle="1" w:styleId="Heading7Char">
    <w:name w:val="Heading 7 Char"/>
    <w:basedOn w:val="DefaultParagraphFont"/>
    <w:link w:val="Heading7"/>
    <w:rsid w:val="00F80890"/>
    <w:rPr>
      <w:rFonts w:ascii="Times New Roman" w:eastAsia="Times New Roman" w:hAnsi="Times New Roman" w:cs="Times New Roman"/>
      <w:i/>
      <w:sz w:val="18"/>
      <w:szCs w:val="20"/>
    </w:rPr>
  </w:style>
  <w:style w:type="character" w:customStyle="1" w:styleId="Heading8Char">
    <w:name w:val="Heading 8 Char"/>
    <w:basedOn w:val="DefaultParagraphFont"/>
    <w:link w:val="Heading8"/>
    <w:rsid w:val="00F80890"/>
    <w:rPr>
      <w:rFonts w:ascii="Times New Roman" w:eastAsia="Times New Roman" w:hAnsi="Times New Roman" w:cs="Times New Roman"/>
      <w:b/>
      <w:bCs/>
      <w:sz w:val="36"/>
      <w:szCs w:val="20"/>
    </w:rPr>
  </w:style>
  <w:style w:type="character" w:customStyle="1" w:styleId="Heading9Char">
    <w:name w:val="Heading 9 Char"/>
    <w:basedOn w:val="DefaultParagraphFont"/>
    <w:link w:val="Heading9"/>
    <w:rsid w:val="00F80890"/>
    <w:rPr>
      <w:rFonts w:ascii="Times New Roman" w:eastAsia="Times New Roman" w:hAnsi="Times New Roman" w:cs="Times New Roman"/>
      <w:b/>
      <w:bCs/>
      <w:sz w:val="32"/>
      <w:szCs w:val="20"/>
    </w:rPr>
  </w:style>
  <w:style w:type="paragraph" w:customStyle="1" w:styleId="MJAESheading">
    <w:name w:val="MJA ES heading"/>
    <w:basedOn w:val="MJAnormal"/>
    <w:next w:val="MJAnormal"/>
    <w:qFormat/>
    <w:rsid w:val="0069400A"/>
    <w:pPr>
      <w:tabs>
        <w:tab w:val="left" w:pos="425"/>
      </w:tabs>
      <w:spacing w:before="360" w:after="240" w:line="240" w:lineRule="auto"/>
      <w:ind w:left="425" w:hanging="425"/>
    </w:pPr>
    <w:rPr>
      <w:rFonts w:ascii="Corbel" w:hAnsi="Corbel"/>
      <w:color w:val="0093D0"/>
      <w:sz w:val="32"/>
    </w:rPr>
  </w:style>
  <w:style w:type="character" w:styleId="PageNumber">
    <w:name w:val="page number"/>
    <w:basedOn w:val="DefaultParagraphFont"/>
    <w:rsid w:val="00F80890"/>
  </w:style>
  <w:style w:type="paragraph" w:customStyle="1" w:styleId="MJAbulletnormal">
    <w:name w:val="MJA bullet normal"/>
    <w:basedOn w:val="Normal"/>
    <w:link w:val="MJAbulletnormalChar"/>
    <w:qFormat/>
    <w:rsid w:val="003A4303"/>
    <w:pPr>
      <w:numPr>
        <w:numId w:val="2"/>
      </w:numPr>
      <w:tabs>
        <w:tab w:val="left" w:pos="567"/>
      </w:tabs>
      <w:spacing w:before="120" w:after="120" w:line="280" w:lineRule="atLeast"/>
    </w:pPr>
    <w:rPr>
      <w:rFonts w:eastAsia="Times New Roman"/>
    </w:rPr>
  </w:style>
  <w:style w:type="paragraph" w:styleId="TOC1">
    <w:name w:val="toc 1"/>
    <w:basedOn w:val="Normal"/>
    <w:next w:val="Normal"/>
    <w:uiPriority w:val="39"/>
    <w:rsid w:val="009C3271"/>
    <w:pPr>
      <w:tabs>
        <w:tab w:val="right" w:leader="dot" w:pos="426"/>
        <w:tab w:val="right" w:leader="dot" w:pos="8222"/>
      </w:tabs>
      <w:spacing w:before="240" w:after="0" w:line="240" w:lineRule="auto"/>
      <w:ind w:left="425" w:hanging="425"/>
      <w:jc w:val="both"/>
    </w:pPr>
    <w:rPr>
      <w:rFonts w:ascii="Corbel" w:eastAsia="Times New Roman" w:hAnsi="Corbel"/>
      <w:b/>
      <w:noProof/>
      <w:sz w:val="20"/>
      <w:szCs w:val="20"/>
    </w:rPr>
  </w:style>
  <w:style w:type="paragraph" w:styleId="TOC2">
    <w:name w:val="toc 2"/>
    <w:basedOn w:val="Normal"/>
    <w:next w:val="Normal"/>
    <w:uiPriority w:val="39"/>
    <w:rsid w:val="009C3271"/>
    <w:pPr>
      <w:tabs>
        <w:tab w:val="left" w:pos="992"/>
        <w:tab w:val="right" w:leader="dot" w:pos="8222"/>
      </w:tabs>
      <w:spacing w:before="60" w:after="0" w:line="240" w:lineRule="auto"/>
      <w:ind w:left="1417" w:hanging="992"/>
    </w:pPr>
    <w:rPr>
      <w:rFonts w:ascii="Corbel" w:eastAsia="Times New Roman" w:hAnsi="Corbel"/>
      <w:noProof/>
      <w:sz w:val="18"/>
      <w:szCs w:val="20"/>
    </w:rPr>
  </w:style>
  <w:style w:type="paragraph" w:styleId="TOC3">
    <w:name w:val="toc 3"/>
    <w:basedOn w:val="Normal"/>
    <w:next w:val="Normal"/>
    <w:uiPriority w:val="39"/>
    <w:rsid w:val="00F80890"/>
    <w:pPr>
      <w:tabs>
        <w:tab w:val="left" w:leader="dot" w:pos="1418"/>
        <w:tab w:val="right" w:leader="dot" w:pos="8222"/>
      </w:tabs>
      <w:spacing w:after="0" w:line="240" w:lineRule="auto"/>
      <w:ind w:left="851"/>
      <w:jc w:val="both"/>
    </w:pPr>
    <w:rPr>
      <w:rFonts w:ascii="Arial" w:eastAsia="Times New Roman" w:hAnsi="Arial"/>
      <w:noProof/>
      <w:sz w:val="18"/>
      <w:szCs w:val="20"/>
    </w:rPr>
  </w:style>
  <w:style w:type="character" w:styleId="FootnoteReference">
    <w:name w:val="footnote reference"/>
    <w:basedOn w:val="DefaultParagraphFont"/>
    <w:uiPriority w:val="99"/>
    <w:rsid w:val="00F80890"/>
    <w:rPr>
      <w:vertAlign w:val="superscript"/>
    </w:rPr>
  </w:style>
  <w:style w:type="paragraph" w:customStyle="1" w:styleId="MJAitalicsheading">
    <w:name w:val="MJA italics heading"/>
    <w:basedOn w:val="MJAnormal"/>
    <w:next w:val="MJAnormal"/>
    <w:qFormat/>
    <w:rsid w:val="008C23EF"/>
    <w:pPr>
      <w:keepNext/>
      <w:keepLines/>
      <w:tabs>
        <w:tab w:val="left" w:pos="397"/>
      </w:tabs>
      <w:spacing w:before="240" w:line="240" w:lineRule="auto"/>
      <w:jc w:val="both"/>
    </w:pPr>
    <w:rPr>
      <w:i/>
    </w:rPr>
  </w:style>
  <w:style w:type="paragraph" w:styleId="FootnoteText">
    <w:name w:val="footnote text"/>
    <w:basedOn w:val="Normal"/>
    <w:link w:val="FootnoteTextChar"/>
    <w:uiPriority w:val="99"/>
    <w:rsid w:val="00F80890"/>
    <w:pPr>
      <w:tabs>
        <w:tab w:val="left" w:pos="397"/>
      </w:tabs>
      <w:spacing w:after="120" w:line="240" w:lineRule="auto"/>
      <w:ind w:left="397" w:hanging="397"/>
      <w:jc w:val="both"/>
    </w:pPr>
    <w:rPr>
      <w:rFonts w:ascii="Times New Roman" w:eastAsia="Times New Roman" w:hAnsi="Times New Roman"/>
      <w:sz w:val="18"/>
      <w:szCs w:val="18"/>
    </w:rPr>
  </w:style>
  <w:style w:type="character" w:customStyle="1" w:styleId="FootnoteTextChar">
    <w:name w:val="Footnote Text Char"/>
    <w:basedOn w:val="DefaultParagraphFont"/>
    <w:link w:val="FootnoteText"/>
    <w:uiPriority w:val="99"/>
    <w:rsid w:val="00F80890"/>
    <w:rPr>
      <w:rFonts w:ascii="Times New Roman" w:eastAsia="Times New Roman" w:hAnsi="Times New Roman" w:cs="Times New Roman"/>
      <w:sz w:val="18"/>
      <w:szCs w:val="18"/>
    </w:rPr>
  </w:style>
  <w:style w:type="paragraph" w:customStyle="1" w:styleId="MJAquote">
    <w:name w:val="MJA quote"/>
    <w:basedOn w:val="Normal"/>
    <w:next w:val="MJAnormal"/>
    <w:qFormat/>
    <w:rsid w:val="003F64C9"/>
    <w:pPr>
      <w:tabs>
        <w:tab w:val="left" w:pos="397"/>
      </w:tabs>
      <w:spacing w:before="120" w:after="120" w:line="280" w:lineRule="atLeast"/>
      <w:ind w:left="567" w:right="567"/>
    </w:pPr>
    <w:rPr>
      <w:rFonts w:ascii="Times New Roman" w:eastAsia="Times New Roman" w:hAnsi="Times New Roman"/>
      <w:i/>
    </w:rPr>
  </w:style>
  <w:style w:type="paragraph" w:customStyle="1" w:styleId="MJAheading4">
    <w:name w:val="MJA heading 4"/>
    <w:basedOn w:val="MJAnormal"/>
    <w:next w:val="MJAnormal"/>
    <w:qFormat/>
    <w:rsid w:val="008C23EF"/>
    <w:pPr>
      <w:keepNext/>
      <w:keepLines/>
      <w:tabs>
        <w:tab w:val="left" w:pos="397"/>
      </w:tabs>
      <w:spacing w:before="360"/>
      <w:jc w:val="both"/>
    </w:pPr>
    <w:rPr>
      <w:rFonts w:ascii="Corbel" w:hAnsi="Corbel"/>
      <w:color w:val="0093D0"/>
      <w:szCs w:val="20"/>
    </w:rPr>
  </w:style>
  <w:style w:type="paragraph" w:styleId="TOC4">
    <w:name w:val="toc 4"/>
    <w:basedOn w:val="Normal"/>
    <w:next w:val="Normal"/>
    <w:autoRedefine/>
    <w:semiHidden/>
    <w:rsid w:val="00F80890"/>
    <w:pPr>
      <w:spacing w:after="0" w:line="240" w:lineRule="auto"/>
      <w:ind w:left="720"/>
      <w:jc w:val="both"/>
    </w:pPr>
    <w:rPr>
      <w:rFonts w:ascii="Times New Roman" w:eastAsia="Times New Roman" w:hAnsi="Times New Roman"/>
      <w:sz w:val="24"/>
      <w:szCs w:val="20"/>
    </w:rPr>
  </w:style>
  <w:style w:type="paragraph" w:styleId="Index1">
    <w:name w:val="index 1"/>
    <w:basedOn w:val="Normal"/>
    <w:next w:val="Normal"/>
    <w:autoRedefine/>
    <w:semiHidden/>
    <w:rsid w:val="00F80890"/>
    <w:pPr>
      <w:spacing w:after="0" w:line="240" w:lineRule="auto"/>
      <w:ind w:left="240" w:hanging="240"/>
      <w:jc w:val="both"/>
    </w:pPr>
    <w:rPr>
      <w:rFonts w:ascii="Times New Roman" w:eastAsia="Times New Roman" w:hAnsi="Times New Roman"/>
      <w:sz w:val="24"/>
      <w:szCs w:val="20"/>
    </w:rPr>
  </w:style>
  <w:style w:type="paragraph" w:styleId="TOC5">
    <w:name w:val="toc 5"/>
    <w:basedOn w:val="Normal"/>
    <w:next w:val="Normal"/>
    <w:autoRedefine/>
    <w:semiHidden/>
    <w:rsid w:val="00F80890"/>
    <w:pPr>
      <w:spacing w:after="0" w:line="240" w:lineRule="auto"/>
      <w:ind w:left="960"/>
      <w:jc w:val="both"/>
    </w:pPr>
    <w:rPr>
      <w:rFonts w:ascii="Times New Roman" w:eastAsia="Times New Roman" w:hAnsi="Times New Roman"/>
      <w:sz w:val="24"/>
      <w:szCs w:val="20"/>
    </w:rPr>
  </w:style>
  <w:style w:type="paragraph" w:styleId="TOC6">
    <w:name w:val="toc 6"/>
    <w:basedOn w:val="Normal"/>
    <w:next w:val="Normal"/>
    <w:autoRedefine/>
    <w:semiHidden/>
    <w:rsid w:val="00F80890"/>
    <w:pPr>
      <w:spacing w:after="0" w:line="240" w:lineRule="auto"/>
      <w:ind w:left="1200"/>
      <w:jc w:val="both"/>
    </w:pPr>
    <w:rPr>
      <w:rFonts w:ascii="Times New Roman" w:eastAsia="Times New Roman" w:hAnsi="Times New Roman"/>
      <w:sz w:val="24"/>
      <w:szCs w:val="20"/>
    </w:rPr>
  </w:style>
  <w:style w:type="paragraph" w:styleId="TOC7">
    <w:name w:val="toc 7"/>
    <w:basedOn w:val="Normal"/>
    <w:next w:val="Normal"/>
    <w:autoRedefine/>
    <w:semiHidden/>
    <w:rsid w:val="00F80890"/>
    <w:pPr>
      <w:spacing w:after="0" w:line="240" w:lineRule="auto"/>
      <w:ind w:left="1440"/>
      <w:jc w:val="both"/>
    </w:pPr>
    <w:rPr>
      <w:rFonts w:ascii="Times New Roman" w:eastAsia="Times New Roman" w:hAnsi="Times New Roman"/>
      <w:sz w:val="24"/>
      <w:szCs w:val="20"/>
    </w:rPr>
  </w:style>
  <w:style w:type="paragraph" w:styleId="TOC8">
    <w:name w:val="toc 8"/>
    <w:basedOn w:val="Normal"/>
    <w:next w:val="Normal"/>
    <w:autoRedefine/>
    <w:semiHidden/>
    <w:rsid w:val="00F80890"/>
    <w:pPr>
      <w:spacing w:after="0" w:line="240" w:lineRule="auto"/>
      <w:ind w:left="1680"/>
      <w:jc w:val="both"/>
    </w:pPr>
    <w:rPr>
      <w:rFonts w:ascii="Times New Roman" w:eastAsia="Times New Roman" w:hAnsi="Times New Roman"/>
      <w:sz w:val="24"/>
      <w:szCs w:val="20"/>
    </w:rPr>
  </w:style>
  <w:style w:type="paragraph" w:styleId="TOC9">
    <w:name w:val="toc 9"/>
    <w:basedOn w:val="Normal"/>
    <w:next w:val="Normal"/>
    <w:autoRedefine/>
    <w:semiHidden/>
    <w:rsid w:val="00F80890"/>
    <w:pPr>
      <w:spacing w:after="0" w:line="240" w:lineRule="auto"/>
      <w:ind w:left="1920"/>
      <w:jc w:val="both"/>
    </w:pPr>
    <w:rPr>
      <w:rFonts w:ascii="Times New Roman" w:eastAsia="Times New Roman" w:hAnsi="Times New Roman"/>
      <w:sz w:val="24"/>
      <w:szCs w:val="20"/>
    </w:rPr>
  </w:style>
  <w:style w:type="character" w:styleId="Hyperlink">
    <w:name w:val="Hyperlink"/>
    <w:basedOn w:val="DefaultParagraphFont"/>
    <w:uiPriority w:val="99"/>
    <w:rsid w:val="00F80890"/>
    <w:rPr>
      <w:color w:val="0000FF"/>
      <w:u w:val="single"/>
    </w:rPr>
  </w:style>
  <w:style w:type="paragraph" w:customStyle="1" w:styleId="MJAbulletsubpara">
    <w:name w:val="MJA bullet sub para"/>
    <w:basedOn w:val="Normal"/>
    <w:next w:val="MJAbulletnormal"/>
    <w:qFormat/>
    <w:rsid w:val="000D4F20"/>
    <w:pPr>
      <w:spacing w:after="120" w:line="280" w:lineRule="atLeast"/>
      <w:ind w:left="397"/>
    </w:pPr>
    <w:rPr>
      <w:rFonts w:ascii="Times New Roman" w:eastAsia="Times New Roman" w:hAnsi="Times New Roman"/>
    </w:rPr>
  </w:style>
  <w:style w:type="paragraph" w:customStyle="1" w:styleId="MJAdashbullet">
    <w:name w:val="MJA dash bullet"/>
    <w:basedOn w:val="Normal"/>
    <w:qFormat/>
    <w:rsid w:val="008C23EF"/>
    <w:pPr>
      <w:numPr>
        <w:numId w:val="10"/>
      </w:numPr>
      <w:tabs>
        <w:tab w:val="left" w:pos="794"/>
      </w:tabs>
      <w:spacing w:after="120" w:line="280" w:lineRule="atLeast"/>
    </w:pPr>
    <w:rPr>
      <w:rFonts w:ascii="Times New Roman" w:eastAsia="Times New Roman" w:hAnsi="Times New Roman"/>
    </w:rPr>
  </w:style>
  <w:style w:type="paragraph" w:customStyle="1" w:styleId="MJAnormal">
    <w:name w:val="MJA normal"/>
    <w:basedOn w:val="Normal"/>
    <w:link w:val="MJAnormalChar1"/>
    <w:qFormat/>
    <w:rsid w:val="003A4303"/>
    <w:pPr>
      <w:spacing w:before="120" w:after="120" w:line="280" w:lineRule="atLeast"/>
    </w:pPr>
    <w:rPr>
      <w:rFonts w:eastAsia="Times New Roman"/>
    </w:rPr>
  </w:style>
  <w:style w:type="paragraph" w:styleId="TableofFigures">
    <w:name w:val="table of figures"/>
    <w:aliases w:val="MJA Table of Figures"/>
    <w:basedOn w:val="Normal"/>
    <w:next w:val="Normal"/>
    <w:uiPriority w:val="99"/>
    <w:rsid w:val="00F80890"/>
    <w:pPr>
      <w:spacing w:before="40" w:after="0" w:line="240" w:lineRule="auto"/>
      <w:jc w:val="both"/>
    </w:pPr>
    <w:rPr>
      <w:rFonts w:ascii="Corbel" w:eastAsia="Times New Roman" w:hAnsi="Corbel"/>
      <w:sz w:val="18"/>
      <w:szCs w:val="20"/>
    </w:rPr>
  </w:style>
  <w:style w:type="character" w:customStyle="1" w:styleId="MJAnormalChar1">
    <w:name w:val="MJA normal Char1"/>
    <w:basedOn w:val="DefaultParagraphFont"/>
    <w:link w:val="MJAnormal"/>
    <w:rsid w:val="003A4303"/>
    <w:rPr>
      <w:rFonts w:eastAsia="Times New Roman" w:cs="Times New Roman"/>
    </w:rPr>
  </w:style>
  <w:style w:type="character" w:customStyle="1" w:styleId="BalloonTextChar">
    <w:name w:val="Balloon Text Char"/>
    <w:basedOn w:val="DefaultParagraphFont"/>
    <w:link w:val="BalloonText"/>
    <w:semiHidden/>
    <w:rsid w:val="000D4F20"/>
    <w:rPr>
      <w:rFonts w:ascii="Tahoma" w:hAnsi="Tahoma" w:cs="Tahoma"/>
      <w:sz w:val="16"/>
      <w:szCs w:val="16"/>
    </w:rPr>
  </w:style>
  <w:style w:type="numbering" w:customStyle="1" w:styleId="NEWMJAListStyle">
    <w:name w:val="NEW MJA List Style"/>
    <w:rsid w:val="00F80890"/>
    <w:pPr>
      <w:numPr>
        <w:numId w:val="4"/>
      </w:numPr>
    </w:pPr>
  </w:style>
  <w:style w:type="table" w:styleId="TableSimple1">
    <w:name w:val="Table Simple 1"/>
    <w:basedOn w:val="TableNormal"/>
    <w:rsid w:val="00F80890"/>
    <w:pPr>
      <w:tabs>
        <w:tab w:val="left" w:pos="397"/>
      </w:tabs>
      <w:jc w:val="both"/>
    </w:pPr>
    <w:rPr>
      <w:rFonts w:eastAsia="Times New Roman"/>
      <w:sz w:val="24"/>
      <w:szCs w:val="24"/>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MJAESnormal">
    <w:name w:val="MJA ES normal"/>
    <w:basedOn w:val="MJAnormal"/>
    <w:qFormat/>
    <w:rsid w:val="00136F31"/>
    <w:pPr>
      <w:numPr>
        <w:numId w:val="9"/>
      </w:numPr>
      <w:tabs>
        <w:tab w:val="left" w:pos="709"/>
      </w:tabs>
    </w:pPr>
  </w:style>
  <w:style w:type="paragraph" w:styleId="Revision">
    <w:name w:val="Revision"/>
    <w:hidden/>
    <w:uiPriority w:val="99"/>
    <w:semiHidden/>
    <w:rsid w:val="00F80890"/>
    <w:rPr>
      <w:rFonts w:ascii="Times New Roman" w:eastAsia="Times New Roman" w:hAnsi="Times New Roman"/>
      <w:sz w:val="24"/>
      <w:lang w:eastAsia="en-US"/>
    </w:rPr>
  </w:style>
  <w:style w:type="paragraph" w:customStyle="1" w:styleId="Default">
    <w:name w:val="Default"/>
    <w:rsid w:val="00F80890"/>
    <w:pPr>
      <w:widowControl w:val="0"/>
      <w:autoSpaceDE w:val="0"/>
      <w:autoSpaceDN w:val="0"/>
      <w:adjustRightInd w:val="0"/>
    </w:pPr>
    <w:rPr>
      <w:rFonts w:ascii="Arial" w:eastAsia="Times New Roman" w:hAnsi="Arial" w:cs="Arial"/>
      <w:color w:val="000000"/>
      <w:sz w:val="24"/>
      <w:szCs w:val="24"/>
    </w:rPr>
  </w:style>
  <w:style w:type="numbering" w:customStyle="1" w:styleId="List1">
    <w:name w:val="List 1"/>
    <w:autoRedefine/>
    <w:rsid w:val="00F80890"/>
    <w:pPr>
      <w:numPr>
        <w:numId w:val="6"/>
      </w:numPr>
    </w:pPr>
  </w:style>
  <w:style w:type="paragraph" w:styleId="ListBullet">
    <w:name w:val="List Bullet"/>
    <w:basedOn w:val="Normal"/>
    <w:unhideWhenUsed/>
    <w:rsid w:val="00F80890"/>
    <w:pPr>
      <w:numPr>
        <w:numId w:val="8"/>
      </w:numPr>
      <w:spacing w:before="90" w:after="90" w:line="264" w:lineRule="auto"/>
      <w:contextualSpacing/>
    </w:pPr>
    <w:rPr>
      <w:rFonts w:ascii="Verdana" w:eastAsia="Times New Roman" w:hAnsi="Verdana" w:cs="Times"/>
      <w:sz w:val="20"/>
      <w:szCs w:val="20"/>
    </w:rPr>
  </w:style>
  <w:style w:type="paragraph" w:customStyle="1" w:styleId="MJAnotes">
    <w:name w:val="MJA notes"/>
    <w:basedOn w:val="MJAnormal"/>
    <w:next w:val="Normal"/>
    <w:qFormat/>
    <w:rsid w:val="0051000B"/>
    <w:pPr>
      <w:tabs>
        <w:tab w:val="left" w:pos="425"/>
      </w:tabs>
      <w:spacing w:before="0" w:after="60" w:line="240" w:lineRule="auto"/>
      <w:ind w:left="425" w:hanging="425"/>
    </w:pPr>
    <w:rPr>
      <w:i/>
      <w:sz w:val="20"/>
    </w:rPr>
  </w:style>
  <w:style w:type="paragraph" w:styleId="Header">
    <w:name w:val="header"/>
    <w:basedOn w:val="Normal"/>
    <w:link w:val="HeaderChar"/>
    <w:unhideWhenUsed/>
    <w:rsid w:val="00F164FF"/>
    <w:pPr>
      <w:tabs>
        <w:tab w:val="center" w:pos="4513"/>
        <w:tab w:val="right" w:pos="9026"/>
      </w:tabs>
      <w:spacing w:after="0" w:line="240" w:lineRule="auto"/>
    </w:pPr>
  </w:style>
  <w:style w:type="character" w:customStyle="1" w:styleId="HeaderChar">
    <w:name w:val="Header Char"/>
    <w:basedOn w:val="DefaultParagraphFont"/>
    <w:link w:val="Header"/>
    <w:rsid w:val="00F164FF"/>
  </w:style>
  <w:style w:type="paragraph" w:styleId="Footer">
    <w:name w:val="footer"/>
    <w:basedOn w:val="Normal"/>
    <w:link w:val="FooterChar"/>
    <w:unhideWhenUsed/>
    <w:rsid w:val="00F164FF"/>
    <w:pPr>
      <w:tabs>
        <w:tab w:val="center" w:pos="4513"/>
        <w:tab w:val="right" w:pos="9026"/>
      </w:tabs>
      <w:spacing w:after="0" w:line="240" w:lineRule="auto"/>
    </w:pPr>
  </w:style>
  <w:style w:type="character" w:customStyle="1" w:styleId="FooterChar">
    <w:name w:val="Footer Char"/>
    <w:basedOn w:val="DefaultParagraphFont"/>
    <w:link w:val="Footer"/>
    <w:rsid w:val="00F164FF"/>
  </w:style>
  <w:style w:type="table" w:customStyle="1" w:styleId="MJATable1">
    <w:name w:val="MJA Table1"/>
    <w:basedOn w:val="TableNormal"/>
    <w:uiPriority w:val="99"/>
    <w:rsid w:val="00525682"/>
    <w:pPr>
      <w:spacing w:before="60" w:after="60"/>
      <w:jc w:val="center"/>
    </w:pPr>
    <w:tblPr>
      <w:tblInd w:w="0" w:type="dxa"/>
      <w:tblCellMar>
        <w:top w:w="0" w:type="dxa"/>
        <w:left w:w="108" w:type="dxa"/>
        <w:bottom w:w="0" w:type="dxa"/>
        <w:right w:w="108" w:type="dxa"/>
      </w:tblCellMar>
    </w:tblPr>
    <w:tcPr>
      <w:shd w:val="clear" w:color="auto" w:fill="auto"/>
      <w:vAlign w:val="center"/>
    </w:tcPr>
    <w:tblStylePr w:type="firstRow">
      <w:rPr>
        <w:b/>
        <w:color w:val="FFFFFF"/>
      </w:rPr>
      <w:tblPr/>
      <w:tcPr>
        <w:shd w:val="clear" w:color="auto" w:fill="0093D0"/>
      </w:tcPr>
    </w:tblStylePr>
    <w:tblStylePr w:type="lastRow">
      <w:rPr>
        <w:b/>
      </w:rPr>
      <w:tblPr/>
      <w:tcPr>
        <w:tcBorders>
          <w:bottom w:val="single" w:sz="12" w:space="0" w:color="0093D0"/>
        </w:tcBorders>
        <w:shd w:val="clear" w:color="auto" w:fill="auto"/>
      </w:tcPr>
    </w:tblStylePr>
    <w:tblStylePr w:type="firstCol">
      <w:pPr>
        <w:jc w:val="left"/>
      </w:pPr>
    </w:tblStylePr>
  </w:style>
  <w:style w:type="character" w:customStyle="1" w:styleId="MJAbulletnormalChar">
    <w:name w:val="MJA bullet normal Char"/>
    <w:basedOn w:val="DefaultParagraphFont"/>
    <w:link w:val="MJAbulletnormal"/>
    <w:locked/>
    <w:rsid w:val="003A4303"/>
    <w:rPr>
      <w:rFonts w:eastAsia="Times New Roman" w:cs="Times New Roman"/>
    </w:rPr>
  </w:style>
  <w:style w:type="paragraph" w:styleId="ListParagraph">
    <w:name w:val="List Paragraph"/>
    <w:basedOn w:val="Normal"/>
    <w:uiPriority w:val="34"/>
    <w:qFormat/>
    <w:rsid w:val="00335904"/>
    <w:pPr>
      <w:spacing w:after="0" w:line="240" w:lineRule="auto"/>
      <w:ind w:left="720"/>
    </w:pPr>
  </w:style>
  <w:style w:type="table" w:styleId="LightList-Accent1">
    <w:name w:val="Light List Accent 1"/>
    <w:basedOn w:val="TableNormal"/>
    <w:uiPriority w:val="61"/>
    <w:rsid w:val="0033590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basedOn w:val="DefaultParagraphFont"/>
    <w:uiPriority w:val="20"/>
    <w:qFormat/>
    <w:rsid w:val="00335904"/>
    <w:rPr>
      <w:i/>
      <w:iCs/>
    </w:rPr>
  </w:style>
  <w:style w:type="character" w:styleId="HTMLAcronym">
    <w:name w:val="HTML Acronym"/>
    <w:basedOn w:val="DefaultParagraphFont"/>
    <w:uiPriority w:val="99"/>
    <w:semiHidden/>
    <w:unhideWhenUsed/>
    <w:rsid w:val="00335904"/>
  </w:style>
  <w:style w:type="character" w:styleId="CommentReference">
    <w:name w:val="annotation reference"/>
    <w:basedOn w:val="DefaultParagraphFont"/>
    <w:semiHidden/>
    <w:unhideWhenUsed/>
    <w:rsid w:val="003A4303"/>
    <w:rPr>
      <w:sz w:val="16"/>
      <w:szCs w:val="16"/>
    </w:rPr>
  </w:style>
  <w:style w:type="paragraph" w:styleId="CommentText">
    <w:name w:val="annotation text"/>
    <w:basedOn w:val="Normal"/>
    <w:link w:val="CommentTextChar"/>
    <w:semiHidden/>
    <w:unhideWhenUsed/>
    <w:rsid w:val="003A4303"/>
    <w:pPr>
      <w:spacing w:line="240" w:lineRule="auto"/>
    </w:pPr>
    <w:rPr>
      <w:sz w:val="20"/>
      <w:szCs w:val="20"/>
    </w:rPr>
  </w:style>
  <w:style w:type="character" w:customStyle="1" w:styleId="CommentTextChar">
    <w:name w:val="Comment Text Char"/>
    <w:basedOn w:val="DefaultParagraphFont"/>
    <w:link w:val="CommentText"/>
    <w:semiHidden/>
    <w:rsid w:val="003A4303"/>
    <w:rPr>
      <w:sz w:val="20"/>
      <w:szCs w:val="20"/>
    </w:rPr>
  </w:style>
  <w:style w:type="paragraph" w:styleId="CommentSubject">
    <w:name w:val="annotation subject"/>
    <w:basedOn w:val="CommentText"/>
    <w:next w:val="CommentText"/>
    <w:link w:val="CommentSubjectChar"/>
    <w:semiHidden/>
    <w:unhideWhenUsed/>
    <w:rsid w:val="003A4303"/>
    <w:rPr>
      <w:b/>
      <w:bCs/>
    </w:rPr>
  </w:style>
  <w:style w:type="character" w:customStyle="1" w:styleId="CommentSubjectChar">
    <w:name w:val="Comment Subject Char"/>
    <w:basedOn w:val="CommentTextChar"/>
    <w:link w:val="CommentSubject"/>
    <w:semiHidden/>
    <w:rsid w:val="003A4303"/>
    <w:rPr>
      <w:b/>
      <w:bCs/>
      <w:sz w:val="20"/>
      <w:szCs w:val="20"/>
    </w:rPr>
  </w:style>
  <w:style w:type="character" w:styleId="FollowedHyperlink">
    <w:name w:val="FollowedHyperlink"/>
    <w:basedOn w:val="DefaultParagraphFont"/>
    <w:semiHidden/>
    <w:unhideWhenUsed/>
    <w:rsid w:val="00C17E21"/>
    <w:rPr>
      <w:color w:val="800080"/>
      <w:u w:val="single"/>
    </w:rPr>
  </w:style>
</w:styles>
</file>

<file path=word/webSettings.xml><?xml version="1.0" encoding="utf-8"?>
<w:webSettings xmlns:r="http://schemas.openxmlformats.org/officeDocument/2006/relationships" xmlns:w="http://schemas.openxmlformats.org/wordprocessingml/2006/main">
  <w:divs>
    <w:div w:id="179201295">
      <w:bodyDiv w:val="1"/>
      <w:marLeft w:val="0"/>
      <w:marRight w:val="0"/>
      <w:marTop w:val="0"/>
      <w:marBottom w:val="0"/>
      <w:divBdr>
        <w:top w:val="none" w:sz="0" w:space="0" w:color="auto"/>
        <w:left w:val="none" w:sz="0" w:space="0" w:color="auto"/>
        <w:bottom w:val="none" w:sz="0" w:space="0" w:color="auto"/>
        <w:right w:val="none" w:sz="0" w:space="0" w:color="auto"/>
      </w:divBdr>
    </w:div>
    <w:div w:id="202639657">
      <w:bodyDiv w:val="1"/>
      <w:marLeft w:val="0"/>
      <w:marRight w:val="0"/>
      <w:marTop w:val="0"/>
      <w:marBottom w:val="0"/>
      <w:divBdr>
        <w:top w:val="none" w:sz="0" w:space="0" w:color="auto"/>
        <w:left w:val="none" w:sz="0" w:space="0" w:color="auto"/>
        <w:bottom w:val="none" w:sz="0" w:space="0" w:color="auto"/>
        <w:right w:val="none" w:sz="0" w:space="0" w:color="auto"/>
      </w:divBdr>
    </w:div>
    <w:div w:id="218253493">
      <w:bodyDiv w:val="1"/>
      <w:marLeft w:val="0"/>
      <w:marRight w:val="0"/>
      <w:marTop w:val="0"/>
      <w:marBottom w:val="0"/>
      <w:divBdr>
        <w:top w:val="none" w:sz="0" w:space="0" w:color="auto"/>
        <w:left w:val="none" w:sz="0" w:space="0" w:color="auto"/>
        <w:bottom w:val="none" w:sz="0" w:space="0" w:color="auto"/>
        <w:right w:val="none" w:sz="0" w:space="0" w:color="auto"/>
      </w:divBdr>
    </w:div>
    <w:div w:id="349839975">
      <w:bodyDiv w:val="1"/>
      <w:marLeft w:val="0"/>
      <w:marRight w:val="0"/>
      <w:marTop w:val="0"/>
      <w:marBottom w:val="0"/>
      <w:divBdr>
        <w:top w:val="none" w:sz="0" w:space="0" w:color="auto"/>
        <w:left w:val="none" w:sz="0" w:space="0" w:color="auto"/>
        <w:bottom w:val="none" w:sz="0" w:space="0" w:color="auto"/>
        <w:right w:val="none" w:sz="0" w:space="0" w:color="auto"/>
      </w:divBdr>
      <w:divsChild>
        <w:div w:id="78723387">
          <w:marLeft w:val="0"/>
          <w:marRight w:val="0"/>
          <w:marTop w:val="0"/>
          <w:marBottom w:val="0"/>
          <w:divBdr>
            <w:top w:val="none" w:sz="0" w:space="0" w:color="auto"/>
            <w:left w:val="none" w:sz="0" w:space="0" w:color="auto"/>
            <w:bottom w:val="none" w:sz="0" w:space="0" w:color="auto"/>
            <w:right w:val="none" w:sz="0" w:space="0" w:color="auto"/>
          </w:divBdr>
        </w:div>
        <w:div w:id="546836951">
          <w:marLeft w:val="0"/>
          <w:marRight w:val="0"/>
          <w:marTop w:val="0"/>
          <w:marBottom w:val="0"/>
          <w:divBdr>
            <w:top w:val="none" w:sz="0" w:space="0" w:color="auto"/>
            <w:left w:val="none" w:sz="0" w:space="0" w:color="auto"/>
            <w:bottom w:val="none" w:sz="0" w:space="0" w:color="auto"/>
            <w:right w:val="none" w:sz="0" w:space="0" w:color="auto"/>
          </w:divBdr>
        </w:div>
        <w:div w:id="2113430429">
          <w:marLeft w:val="0"/>
          <w:marRight w:val="0"/>
          <w:marTop w:val="0"/>
          <w:marBottom w:val="0"/>
          <w:divBdr>
            <w:top w:val="none" w:sz="0" w:space="0" w:color="auto"/>
            <w:left w:val="none" w:sz="0" w:space="0" w:color="auto"/>
            <w:bottom w:val="none" w:sz="0" w:space="0" w:color="auto"/>
            <w:right w:val="none" w:sz="0" w:space="0" w:color="auto"/>
          </w:divBdr>
        </w:div>
      </w:divsChild>
    </w:div>
    <w:div w:id="359086333">
      <w:bodyDiv w:val="1"/>
      <w:marLeft w:val="0"/>
      <w:marRight w:val="0"/>
      <w:marTop w:val="0"/>
      <w:marBottom w:val="0"/>
      <w:divBdr>
        <w:top w:val="none" w:sz="0" w:space="0" w:color="auto"/>
        <w:left w:val="none" w:sz="0" w:space="0" w:color="auto"/>
        <w:bottom w:val="none" w:sz="0" w:space="0" w:color="auto"/>
        <w:right w:val="none" w:sz="0" w:space="0" w:color="auto"/>
      </w:divBdr>
    </w:div>
    <w:div w:id="387724885">
      <w:bodyDiv w:val="1"/>
      <w:marLeft w:val="0"/>
      <w:marRight w:val="0"/>
      <w:marTop w:val="0"/>
      <w:marBottom w:val="0"/>
      <w:divBdr>
        <w:top w:val="none" w:sz="0" w:space="0" w:color="auto"/>
        <w:left w:val="none" w:sz="0" w:space="0" w:color="auto"/>
        <w:bottom w:val="none" w:sz="0" w:space="0" w:color="auto"/>
        <w:right w:val="none" w:sz="0" w:space="0" w:color="auto"/>
      </w:divBdr>
    </w:div>
    <w:div w:id="784733524">
      <w:bodyDiv w:val="1"/>
      <w:marLeft w:val="0"/>
      <w:marRight w:val="0"/>
      <w:marTop w:val="0"/>
      <w:marBottom w:val="0"/>
      <w:divBdr>
        <w:top w:val="none" w:sz="0" w:space="0" w:color="auto"/>
        <w:left w:val="none" w:sz="0" w:space="0" w:color="auto"/>
        <w:bottom w:val="none" w:sz="0" w:space="0" w:color="auto"/>
        <w:right w:val="none" w:sz="0" w:space="0" w:color="auto"/>
      </w:divBdr>
    </w:div>
    <w:div w:id="1278870703">
      <w:bodyDiv w:val="1"/>
      <w:marLeft w:val="0"/>
      <w:marRight w:val="0"/>
      <w:marTop w:val="0"/>
      <w:marBottom w:val="0"/>
      <w:divBdr>
        <w:top w:val="none" w:sz="0" w:space="0" w:color="auto"/>
        <w:left w:val="none" w:sz="0" w:space="0" w:color="auto"/>
        <w:bottom w:val="none" w:sz="0" w:space="0" w:color="auto"/>
        <w:right w:val="none" w:sz="0" w:space="0" w:color="auto"/>
      </w:divBdr>
    </w:div>
    <w:div w:id="1525047475">
      <w:bodyDiv w:val="1"/>
      <w:marLeft w:val="0"/>
      <w:marRight w:val="0"/>
      <w:marTop w:val="0"/>
      <w:marBottom w:val="0"/>
      <w:divBdr>
        <w:top w:val="none" w:sz="0" w:space="0" w:color="auto"/>
        <w:left w:val="none" w:sz="0" w:space="0" w:color="auto"/>
        <w:bottom w:val="none" w:sz="0" w:space="0" w:color="auto"/>
        <w:right w:val="none" w:sz="0" w:space="0" w:color="auto"/>
      </w:divBdr>
    </w:div>
    <w:div w:id="1617104235">
      <w:bodyDiv w:val="1"/>
      <w:marLeft w:val="0"/>
      <w:marRight w:val="0"/>
      <w:marTop w:val="0"/>
      <w:marBottom w:val="0"/>
      <w:divBdr>
        <w:top w:val="none" w:sz="0" w:space="0" w:color="auto"/>
        <w:left w:val="none" w:sz="0" w:space="0" w:color="auto"/>
        <w:bottom w:val="none" w:sz="0" w:space="0" w:color="auto"/>
        <w:right w:val="none" w:sz="0" w:space="0" w:color="auto"/>
      </w:divBdr>
    </w:div>
    <w:div w:id="1699163520">
      <w:bodyDiv w:val="1"/>
      <w:marLeft w:val="0"/>
      <w:marRight w:val="0"/>
      <w:marTop w:val="0"/>
      <w:marBottom w:val="0"/>
      <w:divBdr>
        <w:top w:val="none" w:sz="0" w:space="0" w:color="auto"/>
        <w:left w:val="none" w:sz="0" w:space="0" w:color="auto"/>
        <w:bottom w:val="none" w:sz="0" w:space="0" w:color="auto"/>
        <w:right w:val="none" w:sz="0" w:space="0" w:color="auto"/>
      </w:divBdr>
      <w:divsChild>
        <w:div w:id="29494519">
          <w:marLeft w:val="0"/>
          <w:marRight w:val="0"/>
          <w:marTop w:val="0"/>
          <w:marBottom w:val="0"/>
          <w:divBdr>
            <w:top w:val="none" w:sz="0" w:space="0" w:color="auto"/>
            <w:left w:val="none" w:sz="0" w:space="0" w:color="auto"/>
            <w:bottom w:val="none" w:sz="0" w:space="0" w:color="auto"/>
            <w:right w:val="none" w:sz="0" w:space="0" w:color="auto"/>
          </w:divBdr>
        </w:div>
        <w:div w:id="30421899">
          <w:marLeft w:val="0"/>
          <w:marRight w:val="0"/>
          <w:marTop w:val="0"/>
          <w:marBottom w:val="0"/>
          <w:divBdr>
            <w:top w:val="none" w:sz="0" w:space="0" w:color="auto"/>
            <w:left w:val="none" w:sz="0" w:space="0" w:color="auto"/>
            <w:bottom w:val="none" w:sz="0" w:space="0" w:color="auto"/>
            <w:right w:val="none" w:sz="0" w:space="0" w:color="auto"/>
          </w:divBdr>
        </w:div>
        <w:div w:id="63065527">
          <w:marLeft w:val="0"/>
          <w:marRight w:val="0"/>
          <w:marTop w:val="0"/>
          <w:marBottom w:val="0"/>
          <w:divBdr>
            <w:top w:val="none" w:sz="0" w:space="0" w:color="auto"/>
            <w:left w:val="none" w:sz="0" w:space="0" w:color="auto"/>
            <w:bottom w:val="none" w:sz="0" w:space="0" w:color="auto"/>
            <w:right w:val="none" w:sz="0" w:space="0" w:color="auto"/>
          </w:divBdr>
        </w:div>
        <w:div w:id="108859864">
          <w:marLeft w:val="0"/>
          <w:marRight w:val="0"/>
          <w:marTop w:val="0"/>
          <w:marBottom w:val="0"/>
          <w:divBdr>
            <w:top w:val="none" w:sz="0" w:space="0" w:color="auto"/>
            <w:left w:val="none" w:sz="0" w:space="0" w:color="auto"/>
            <w:bottom w:val="none" w:sz="0" w:space="0" w:color="auto"/>
            <w:right w:val="none" w:sz="0" w:space="0" w:color="auto"/>
          </w:divBdr>
        </w:div>
        <w:div w:id="110054834">
          <w:marLeft w:val="0"/>
          <w:marRight w:val="0"/>
          <w:marTop w:val="0"/>
          <w:marBottom w:val="0"/>
          <w:divBdr>
            <w:top w:val="none" w:sz="0" w:space="0" w:color="auto"/>
            <w:left w:val="none" w:sz="0" w:space="0" w:color="auto"/>
            <w:bottom w:val="none" w:sz="0" w:space="0" w:color="auto"/>
            <w:right w:val="none" w:sz="0" w:space="0" w:color="auto"/>
          </w:divBdr>
        </w:div>
        <w:div w:id="127942181">
          <w:marLeft w:val="0"/>
          <w:marRight w:val="0"/>
          <w:marTop w:val="0"/>
          <w:marBottom w:val="0"/>
          <w:divBdr>
            <w:top w:val="none" w:sz="0" w:space="0" w:color="auto"/>
            <w:left w:val="none" w:sz="0" w:space="0" w:color="auto"/>
            <w:bottom w:val="none" w:sz="0" w:space="0" w:color="auto"/>
            <w:right w:val="none" w:sz="0" w:space="0" w:color="auto"/>
          </w:divBdr>
        </w:div>
        <w:div w:id="199361463">
          <w:marLeft w:val="0"/>
          <w:marRight w:val="0"/>
          <w:marTop w:val="0"/>
          <w:marBottom w:val="0"/>
          <w:divBdr>
            <w:top w:val="none" w:sz="0" w:space="0" w:color="auto"/>
            <w:left w:val="none" w:sz="0" w:space="0" w:color="auto"/>
            <w:bottom w:val="none" w:sz="0" w:space="0" w:color="auto"/>
            <w:right w:val="none" w:sz="0" w:space="0" w:color="auto"/>
          </w:divBdr>
        </w:div>
        <w:div w:id="279797000">
          <w:marLeft w:val="0"/>
          <w:marRight w:val="0"/>
          <w:marTop w:val="0"/>
          <w:marBottom w:val="0"/>
          <w:divBdr>
            <w:top w:val="none" w:sz="0" w:space="0" w:color="auto"/>
            <w:left w:val="none" w:sz="0" w:space="0" w:color="auto"/>
            <w:bottom w:val="none" w:sz="0" w:space="0" w:color="auto"/>
            <w:right w:val="none" w:sz="0" w:space="0" w:color="auto"/>
          </w:divBdr>
        </w:div>
        <w:div w:id="321079005">
          <w:marLeft w:val="0"/>
          <w:marRight w:val="0"/>
          <w:marTop w:val="0"/>
          <w:marBottom w:val="0"/>
          <w:divBdr>
            <w:top w:val="none" w:sz="0" w:space="0" w:color="auto"/>
            <w:left w:val="none" w:sz="0" w:space="0" w:color="auto"/>
            <w:bottom w:val="none" w:sz="0" w:space="0" w:color="auto"/>
            <w:right w:val="none" w:sz="0" w:space="0" w:color="auto"/>
          </w:divBdr>
        </w:div>
        <w:div w:id="400443965">
          <w:marLeft w:val="0"/>
          <w:marRight w:val="0"/>
          <w:marTop w:val="0"/>
          <w:marBottom w:val="0"/>
          <w:divBdr>
            <w:top w:val="none" w:sz="0" w:space="0" w:color="auto"/>
            <w:left w:val="none" w:sz="0" w:space="0" w:color="auto"/>
            <w:bottom w:val="none" w:sz="0" w:space="0" w:color="auto"/>
            <w:right w:val="none" w:sz="0" w:space="0" w:color="auto"/>
          </w:divBdr>
        </w:div>
        <w:div w:id="443496344">
          <w:marLeft w:val="0"/>
          <w:marRight w:val="0"/>
          <w:marTop w:val="0"/>
          <w:marBottom w:val="0"/>
          <w:divBdr>
            <w:top w:val="none" w:sz="0" w:space="0" w:color="auto"/>
            <w:left w:val="none" w:sz="0" w:space="0" w:color="auto"/>
            <w:bottom w:val="none" w:sz="0" w:space="0" w:color="auto"/>
            <w:right w:val="none" w:sz="0" w:space="0" w:color="auto"/>
          </w:divBdr>
        </w:div>
        <w:div w:id="491526804">
          <w:marLeft w:val="0"/>
          <w:marRight w:val="0"/>
          <w:marTop w:val="0"/>
          <w:marBottom w:val="0"/>
          <w:divBdr>
            <w:top w:val="none" w:sz="0" w:space="0" w:color="auto"/>
            <w:left w:val="none" w:sz="0" w:space="0" w:color="auto"/>
            <w:bottom w:val="none" w:sz="0" w:space="0" w:color="auto"/>
            <w:right w:val="none" w:sz="0" w:space="0" w:color="auto"/>
          </w:divBdr>
        </w:div>
        <w:div w:id="533346272">
          <w:marLeft w:val="0"/>
          <w:marRight w:val="0"/>
          <w:marTop w:val="0"/>
          <w:marBottom w:val="0"/>
          <w:divBdr>
            <w:top w:val="none" w:sz="0" w:space="0" w:color="auto"/>
            <w:left w:val="none" w:sz="0" w:space="0" w:color="auto"/>
            <w:bottom w:val="none" w:sz="0" w:space="0" w:color="auto"/>
            <w:right w:val="none" w:sz="0" w:space="0" w:color="auto"/>
          </w:divBdr>
        </w:div>
        <w:div w:id="561329538">
          <w:marLeft w:val="0"/>
          <w:marRight w:val="0"/>
          <w:marTop w:val="0"/>
          <w:marBottom w:val="0"/>
          <w:divBdr>
            <w:top w:val="none" w:sz="0" w:space="0" w:color="auto"/>
            <w:left w:val="none" w:sz="0" w:space="0" w:color="auto"/>
            <w:bottom w:val="none" w:sz="0" w:space="0" w:color="auto"/>
            <w:right w:val="none" w:sz="0" w:space="0" w:color="auto"/>
          </w:divBdr>
        </w:div>
        <w:div w:id="594871380">
          <w:marLeft w:val="0"/>
          <w:marRight w:val="0"/>
          <w:marTop w:val="0"/>
          <w:marBottom w:val="0"/>
          <w:divBdr>
            <w:top w:val="none" w:sz="0" w:space="0" w:color="auto"/>
            <w:left w:val="none" w:sz="0" w:space="0" w:color="auto"/>
            <w:bottom w:val="none" w:sz="0" w:space="0" w:color="auto"/>
            <w:right w:val="none" w:sz="0" w:space="0" w:color="auto"/>
          </w:divBdr>
        </w:div>
        <w:div w:id="611787724">
          <w:marLeft w:val="0"/>
          <w:marRight w:val="0"/>
          <w:marTop w:val="0"/>
          <w:marBottom w:val="0"/>
          <w:divBdr>
            <w:top w:val="none" w:sz="0" w:space="0" w:color="auto"/>
            <w:left w:val="none" w:sz="0" w:space="0" w:color="auto"/>
            <w:bottom w:val="none" w:sz="0" w:space="0" w:color="auto"/>
            <w:right w:val="none" w:sz="0" w:space="0" w:color="auto"/>
          </w:divBdr>
        </w:div>
        <w:div w:id="670302410">
          <w:marLeft w:val="0"/>
          <w:marRight w:val="0"/>
          <w:marTop w:val="0"/>
          <w:marBottom w:val="0"/>
          <w:divBdr>
            <w:top w:val="none" w:sz="0" w:space="0" w:color="auto"/>
            <w:left w:val="none" w:sz="0" w:space="0" w:color="auto"/>
            <w:bottom w:val="none" w:sz="0" w:space="0" w:color="auto"/>
            <w:right w:val="none" w:sz="0" w:space="0" w:color="auto"/>
          </w:divBdr>
        </w:div>
        <w:div w:id="680591617">
          <w:marLeft w:val="0"/>
          <w:marRight w:val="0"/>
          <w:marTop w:val="0"/>
          <w:marBottom w:val="0"/>
          <w:divBdr>
            <w:top w:val="none" w:sz="0" w:space="0" w:color="auto"/>
            <w:left w:val="none" w:sz="0" w:space="0" w:color="auto"/>
            <w:bottom w:val="none" w:sz="0" w:space="0" w:color="auto"/>
            <w:right w:val="none" w:sz="0" w:space="0" w:color="auto"/>
          </w:divBdr>
        </w:div>
        <w:div w:id="702098193">
          <w:marLeft w:val="0"/>
          <w:marRight w:val="0"/>
          <w:marTop w:val="0"/>
          <w:marBottom w:val="0"/>
          <w:divBdr>
            <w:top w:val="none" w:sz="0" w:space="0" w:color="auto"/>
            <w:left w:val="none" w:sz="0" w:space="0" w:color="auto"/>
            <w:bottom w:val="none" w:sz="0" w:space="0" w:color="auto"/>
            <w:right w:val="none" w:sz="0" w:space="0" w:color="auto"/>
          </w:divBdr>
        </w:div>
        <w:div w:id="710035891">
          <w:marLeft w:val="0"/>
          <w:marRight w:val="0"/>
          <w:marTop w:val="0"/>
          <w:marBottom w:val="0"/>
          <w:divBdr>
            <w:top w:val="none" w:sz="0" w:space="0" w:color="auto"/>
            <w:left w:val="none" w:sz="0" w:space="0" w:color="auto"/>
            <w:bottom w:val="none" w:sz="0" w:space="0" w:color="auto"/>
            <w:right w:val="none" w:sz="0" w:space="0" w:color="auto"/>
          </w:divBdr>
        </w:div>
        <w:div w:id="785737529">
          <w:marLeft w:val="0"/>
          <w:marRight w:val="0"/>
          <w:marTop w:val="0"/>
          <w:marBottom w:val="0"/>
          <w:divBdr>
            <w:top w:val="none" w:sz="0" w:space="0" w:color="auto"/>
            <w:left w:val="none" w:sz="0" w:space="0" w:color="auto"/>
            <w:bottom w:val="none" w:sz="0" w:space="0" w:color="auto"/>
            <w:right w:val="none" w:sz="0" w:space="0" w:color="auto"/>
          </w:divBdr>
        </w:div>
        <w:div w:id="837235732">
          <w:marLeft w:val="0"/>
          <w:marRight w:val="0"/>
          <w:marTop w:val="0"/>
          <w:marBottom w:val="0"/>
          <w:divBdr>
            <w:top w:val="none" w:sz="0" w:space="0" w:color="auto"/>
            <w:left w:val="none" w:sz="0" w:space="0" w:color="auto"/>
            <w:bottom w:val="none" w:sz="0" w:space="0" w:color="auto"/>
            <w:right w:val="none" w:sz="0" w:space="0" w:color="auto"/>
          </w:divBdr>
        </w:div>
        <w:div w:id="874317200">
          <w:marLeft w:val="0"/>
          <w:marRight w:val="0"/>
          <w:marTop w:val="0"/>
          <w:marBottom w:val="0"/>
          <w:divBdr>
            <w:top w:val="none" w:sz="0" w:space="0" w:color="auto"/>
            <w:left w:val="none" w:sz="0" w:space="0" w:color="auto"/>
            <w:bottom w:val="none" w:sz="0" w:space="0" w:color="auto"/>
            <w:right w:val="none" w:sz="0" w:space="0" w:color="auto"/>
          </w:divBdr>
        </w:div>
        <w:div w:id="991251875">
          <w:marLeft w:val="0"/>
          <w:marRight w:val="0"/>
          <w:marTop w:val="0"/>
          <w:marBottom w:val="0"/>
          <w:divBdr>
            <w:top w:val="none" w:sz="0" w:space="0" w:color="auto"/>
            <w:left w:val="none" w:sz="0" w:space="0" w:color="auto"/>
            <w:bottom w:val="none" w:sz="0" w:space="0" w:color="auto"/>
            <w:right w:val="none" w:sz="0" w:space="0" w:color="auto"/>
          </w:divBdr>
        </w:div>
        <w:div w:id="1000818606">
          <w:marLeft w:val="0"/>
          <w:marRight w:val="0"/>
          <w:marTop w:val="0"/>
          <w:marBottom w:val="0"/>
          <w:divBdr>
            <w:top w:val="none" w:sz="0" w:space="0" w:color="auto"/>
            <w:left w:val="none" w:sz="0" w:space="0" w:color="auto"/>
            <w:bottom w:val="none" w:sz="0" w:space="0" w:color="auto"/>
            <w:right w:val="none" w:sz="0" w:space="0" w:color="auto"/>
          </w:divBdr>
        </w:div>
        <w:div w:id="1068959207">
          <w:marLeft w:val="0"/>
          <w:marRight w:val="0"/>
          <w:marTop w:val="0"/>
          <w:marBottom w:val="0"/>
          <w:divBdr>
            <w:top w:val="none" w:sz="0" w:space="0" w:color="auto"/>
            <w:left w:val="none" w:sz="0" w:space="0" w:color="auto"/>
            <w:bottom w:val="none" w:sz="0" w:space="0" w:color="auto"/>
            <w:right w:val="none" w:sz="0" w:space="0" w:color="auto"/>
          </w:divBdr>
        </w:div>
        <w:div w:id="1116143829">
          <w:marLeft w:val="0"/>
          <w:marRight w:val="0"/>
          <w:marTop w:val="0"/>
          <w:marBottom w:val="0"/>
          <w:divBdr>
            <w:top w:val="none" w:sz="0" w:space="0" w:color="auto"/>
            <w:left w:val="none" w:sz="0" w:space="0" w:color="auto"/>
            <w:bottom w:val="none" w:sz="0" w:space="0" w:color="auto"/>
            <w:right w:val="none" w:sz="0" w:space="0" w:color="auto"/>
          </w:divBdr>
        </w:div>
        <w:div w:id="1157652875">
          <w:marLeft w:val="0"/>
          <w:marRight w:val="0"/>
          <w:marTop w:val="0"/>
          <w:marBottom w:val="0"/>
          <w:divBdr>
            <w:top w:val="none" w:sz="0" w:space="0" w:color="auto"/>
            <w:left w:val="none" w:sz="0" w:space="0" w:color="auto"/>
            <w:bottom w:val="none" w:sz="0" w:space="0" w:color="auto"/>
            <w:right w:val="none" w:sz="0" w:space="0" w:color="auto"/>
          </w:divBdr>
        </w:div>
        <w:div w:id="1337684777">
          <w:marLeft w:val="0"/>
          <w:marRight w:val="0"/>
          <w:marTop w:val="0"/>
          <w:marBottom w:val="0"/>
          <w:divBdr>
            <w:top w:val="none" w:sz="0" w:space="0" w:color="auto"/>
            <w:left w:val="none" w:sz="0" w:space="0" w:color="auto"/>
            <w:bottom w:val="none" w:sz="0" w:space="0" w:color="auto"/>
            <w:right w:val="none" w:sz="0" w:space="0" w:color="auto"/>
          </w:divBdr>
        </w:div>
        <w:div w:id="1457677900">
          <w:marLeft w:val="0"/>
          <w:marRight w:val="0"/>
          <w:marTop w:val="0"/>
          <w:marBottom w:val="0"/>
          <w:divBdr>
            <w:top w:val="none" w:sz="0" w:space="0" w:color="auto"/>
            <w:left w:val="none" w:sz="0" w:space="0" w:color="auto"/>
            <w:bottom w:val="none" w:sz="0" w:space="0" w:color="auto"/>
            <w:right w:val="none" w:sz="0" w:space="0" w:color="auto"/>
          </w:divBdr>
        </w:div>
        <w:div w:id="1464956142">
          <w:marLeft w:val="0"/>
          <w:marRight w:val="0"/>
          <w:marTop w:val="0"/>
          <w:marBottom w:val="0"/>
          <w:divBdr>
            <w:top w:val="none" w:sz="0" w:space="0" w:color="auto"/>
            <w:left w:val="none" w:sz="0" w:space="0" w:color="auto"/>
            <w:bottom w:val="none" w:sz="0" w:space="0" w:color="auto"/>
            <w:right w:val="none" w:sz="0" w:space="0" w:color="auto"/>
          </w:divBdr>
        </w:div>
        <w:div w:id="1515998943">
          <w:marLeft w:val="0"/>
          <w:marRight w:val="0"/>
          <w:marTop w:val="0"/>
          <w:marBottom w:val="0"/>
          <w:divBdr>
            <w:top w:val="none" w:sz="0" w:space="0" w:color="auto"/>
            <w:left w:val="none" w:sz="0" w:space="0" w:color="auto"/>
            <w:bottom w:val="none" w:sz="0" w:space="0" w:color="auto"/>
            <w:right w:val="none" w:sz="0" w:space="0" w:color="auto"/>
          </w:divBdr>
        </w:div>
        <w:div w:id="1522282925">
          <w:marLeft w:val="0"/>
          <w:marRight w:val="0"/>
          <w:marTop w:val="0"/>
          <w:marBottom w:val="0"/>
          <w:divBdr>
            <w:top w:val="none" w:sz="0" w:space="0" w:color="auto"/>
            <w:left w:val="none" w:sz="0" w:space="0" w:color="auto"/>
            <w:bottom w:val="none" w:sz="0" w:space="0" w:color="auto"/>
            <w:right w:val="none" w:sz="0" w:space="0" w:color="auto"/>
          </w:divBdr>
        </w:div>
        <w:div w:id="1690521683">
          <w:marLeft w:val="0"/>
          <w:marRight w:val="0"/>
          <w:marTop w:val="0"/>
          <w:marBottom w:val="0"/>
          <w:divBdr>
            <w:top w:val="none" w:sz="0" w:space="0" w:color="auto"/>
            <w:left w:val="none" w:sz="0" w:space="0" w:color="auto"/>
            <w:bottom w:val="none" w:sz="0" w:space="0" w:color="auto"/>
            <w:right w:val="none" w:sz="0" w:space="0" w:color="auto"/>
          </w:divBdr>
        </w:div>
        <w:div w:id="1722048325">
          <w:marLeft w:val="0"/>
          <w:marRight w:val="0"/>
          <w:marTop w:val="0"/>
          <w:marBottom w:val="0"/>
          <w:divBdr>
            <w:top w:val="none" w:sz="0" w:space="0" w:color="auto"/>
            <w:left w:val="none" w:sz="0" w:space="0" w:color="auto"/>
            <w:bottom w:val="none" w:sz="0" w:space="0" w:color="auto"/>
            <w:right w:val="none" w:sz="0" w:space="0" w:color="auto"/>
          </w:divBdr>
        </w:div>
        <w:div w:id="1738162550">
          <w:marLeft w:val="0"/>
          <w:marRight w:val="0"/>
          <w:marTop w:val="0"/>
          <w:marBottom w:val="0"/>
          <w:divBdr>
            <w:top w:val="none" w:sz="0" w:space="0" w:color="auto"/>
            <w:left w:val="none" w:sz="0" w:space="0" w:color="auto"/>
            <w:bottom w:val="none" w:sz="0" w:space="0" w:color="auto"/>
            <w:right w:val="none" w:sz="0" w:space="0" w:color="auto"/>
          </w:divBdr>
        </w:div>
        <w:div w:id="1774741430">
          <w:marLeft w:val="0"/>
          <w:marRight w:val="0"/>
          <w:marTop w:val="0"/>
          <w:marBottom w:val="0"/>
          <w:divBdr>
            <w:top w:val="none" w:sz="0" w:space="0" w:color="auto"/>
            <w:left w:val="none" w:sz="0" w:space="0" w:color="auto"/>
            <w:bottom w:val="none" w:sz="0" w:space="0" w:color="auto"/>
            <w:right w:val="none" w:sz="0" w:space="0" w:color="auto"/>
          </w:divBdr>
        </w:div>
        <w:div w:id="1777938911">
          <w:marLeft w:val="0"/>
          <w:marRight w:val="0"/>
          <w:marTop w:val="0"/>
          <w:marBottom w:val="0"/>
          <w:divBdr>
            <w:top w:val="none" w:sz="0" w:space="0" w:color="auto"/>
            <w:left w:val="none" w:sz="0" w:space="0" w:color="auto"/>
            <w:bottom w:val="none" w:sz="0" w:space="0" w:color="auto"/>
            <w:right w:val="none" w:sz="0" w:space="0" w:color="auto"/>
          </w:divBdr>
        </w:div>
        <w:div w:id="1821849518">
          <w:marLeft w:val="0"/>
          <w:marRight w:val="0"/>
          <w:marTop w:val="0"/>
          <w:marBottom w:val="0"/>
          <w:divBdr>
            <w:top w:val="none" w:sz="0" w:space="0" w:color="auto"/>
            <w:left w:val="none" w:sz="0" w:space="0" w:color="auto"/>
            <w:bottom w:val="none" w:sz="0" w:space="0" w:color="auto"/>
            <w:right w:val="none" w:sz="0" w:space="0" w:color="auto"/>
          </w:divBdr>
        </w:div>
        <w:div w:id="1892811068">
          <w:marLeft w:val="0"/>
          <w:marRight w:val="0"/>
          <w:marTop w:val="0"/>
          <w:marBottom w:val="0"/>
          <w:divBdr>
            <w:top w:val="none" w:sz="0" w:space="0" w:color="auto"/>
            <w:left w:val="none" w:sz="0" w:space="0" w:color="auto"/>
            <w:bottom w:val="none" w:sz="0" w:space="0" w:color="auto"/>
            <w:right w:val="none" w:sz="0" w:space="0" w:color="auto"/>
          </w:divBdr>
        </w:div>
        <w:div w:id="1904370316">
          <w:marLeft w:val="0"/>
          <w:marRight w:val="0"/>
          <w:marTop w:val="0"/>
          <w:marBottom w:val="0"/>
          <w:divBdr>
            <w:top w:val="none" w:sz="0" w:space="0" w:color="auto"/>
            <w:left w:val="none" w:sz="0" w:space="0" w:color="auto"/>
            <w:bottom w:val="none" w:sz="0" w:space="0" w:color="auto"/>
            <w:right w:val="none" w:sz="0" w:space="0" w:color="auto"/>
          </w:divBdr>
        </w:div>
        <w:div w:id="2035232098">
          <w:marLeft w:val="0"/>
          <w:marRight w:val="0"/>
          <w:marTop w:val="0"/>
          <w:marBottom w:val="0"/>
          <w:divBdr>
            <w:top w:val="none" w:sz="0" w:space="0" w:color="auto"/>
            <w:left w:val="none" w:sz="0" w:space="0" w:color="auto"/>
            <w:bottom w:val="none" w:sz="0" w:space="0" w:color="auto"/>
            <w:right w:val="none" w:sz="0" w:space="0" w:color="auto"/>
          </w:divBdr>
        </w:div>
        <w:div w:id="2138984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egisters.water.nsw.gov.au/wma/WaterShareIntraWSLocSearch.jsp?selectedRegister=WaterShare" TargetMode="External"/><Relationship Id="rId21" Type="http://schemas.openxmlformats.org/officeDocument/2006/relationships/image" Target="media/image7.png"/><Relationship Id="rId42" Type="http://schemas.openxmlformats.org/officeDocument/2006/relationships/image" Target="media/image15.png"/><Relationship Id="rId63" Type="http://schemas.openxmlformats.org/officeDocument/2006/relationships/image" Target="media/image24.png"/><Relationship Id="rId84" Type="http://schemas.openxmlformats.org/officeDocument/2006/relationships/hyperlink" Target="http://registers.water.nsw.gov.au/wma/WaterShareIntraWSLocSearch.jsp?selectedRegister=WaterShare" TargetMode="External"/><Relationship Id="rId16" Type="http://schemas.openxmlformats.org/officeDocument/2006/relationships/footer" Target="footer3.xml"/><Relationship Id="rId107" Type="http://schemas.openxmlformats.org/officeDocument/2006/relationships/hyperlink" Target="http://www.waterfind.com.au" TargetMode="External"/><Relationship Id="rId11"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image" Target="media/image13.png"/><Relationship Id="rId53" Type="http://schemas.openxmlformats.org/officeDocument/2006/relationships/image" Target="media/image20.png"/><Relationship Id="rId58" Type="http://schemas.openxmlformats.org/officeDocument/2006/relationships/image" Target="media/image22.png"/><Relationship Id="rId74" Type="http://schemas.openxmlformats.org/officeDocument/2006/relationships/image" Target="media/image28.png"/><Relationship Id="rId79" Type="http://schemas.openxmlformats.org/officeDocument/2006/relationships/image" Target="media/image29.png"/><Relationship Id="rId102" Type="http://schemas.openxmlformats.org/officeDocument/2006/relationships/hyperlink" Target="http://www.waterfind.com.au" TargetMode="External"/><Relationship Id="rId123" Type="http://schemas.openxmlformats.org/officeDocument/2006/relationships/image" Target="media/image46.png"/><Relationship Id="rId128" Type="http://schemas.openxmlformats.org/officeDocument/2006/relationships/footer" Target="footer5.xml"/><Relationship Id="rId5" Type="http://schemas.openxmlformats.org/officeDocument/2006/relationships/settings" Target="settings.xml"/><Relationship Id="rId90" Type="http://schemas.openxmlformats.org/officeDocument/2006/relationships/hyperlink" Target="http://registers.water.nsw.gov.au/wma/WaterShareIntraWSLocSearch.jsp?selectedRegister=WaterShare" TargetMode="External"/><Relationship Id="rId95" Type="http://schemas.openxmlformats.org/officeDocument/2006/relationships/hyperlink" Target="http://registers.water.nsw.gov.au/wma/WaterShareIntraWSLocSearch.jsp?selectedRegister=WaterShare" TargetMode="External"/><Relationship Id="rId22" Type="http://schemas.openxmlformats.org/officeDocument/2006/relationships/image" Target="media/image8.png"/><Relationship Id="rId27"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image" Target="media/image18.png"/><Relationship Id="rId64" Type="http://schemas.openxmlformats.org/officeDocument/2006/relationships/hyperlink" Target="http://www.waterexchange.com.au" TargetMode="External"/><Relationship Id="rId69" Type="http://schemas.openxmlformats.org/officeDocument/2006/relationships/hyperlink" Target="http://registers.water.nsw.gov.au/wma/WaterShareIntraWSLocSearch.jsp?selectedRegister=WaterShare" TargetMode="External"/><Relationship Id="rId113" Type="http://schemas.openxmlformats.org/officeDocument/2006/relationships/hyperlink" Target="http://registers.water.nsw.gov.au/wma/WaterShareIntraWSLocSearch.jsp?selectedRegister=WaterShare" TargetMode="External"/><Relationship Id="rId118" Type="http://schemas.openxmlformats.org/officeDocument/2006/relationships/hyperlink" Target="http://www.waterfind.com.au" TargetMode="External"/><Relationship Id="rId134" Type="http://schemas.openxmlformats.org/officeDocument/2006/relationships/customXml" Target="../customXml/item4.xml"/><Relationship Id="rId80" Type="http://schemas.openxmlformats.org/officeDocument/2006/relationships/image" Target="media/image30.png"/><Relationship Id="rId85" Type="http://schemas.openxmlformats.org/officeDocument/2006/relationships/hyperlink" Target="http://www.waterexchange.com.au" TargetMode="Externa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image" Target="media/image12.png"/><Relationship Id="rId38" Type="http://schemas.openxmlformats.org/officeDocument/2006/relationships/image" Target="media/image14.png"/><Relationship Id="rId59" Type="http://schemas.openxmlformats.org/officeDocument/2006/relationships/hyperlink" Target="http://www.waterexchange.com.au" TargetMode="External"/><Relationship Id="rId103" Type="http://schemas.openxmlformats.org/officeDocument/2006/relationships/hyperlink" Target="http://www.h2ox.com" TargetMode="External"/><Relationship Id="rId108" Type="http://schemas.openxmlformats.org/officeDocument/2006/relationships/image" Target="media/image39.png"/><Relationship Id="rId124" Type="http://schemas.openxmlformats.org/officeDocument/2006/relationships/image" Target="media/image47.png"/><Relationship Id="rId129" Type="http://schemas.openxmlformats.org/officeDocument/2006/relationships/hyperlink" Target="https://www.dnrm.qld.gov.au/__data/assets/pdf_file/0008/293579/central-condamine-alluvium-water-licence-relocation-reports-to-30-june-2015.pdf" TargetMode="External"/><Relationship Id="rId54" Type="http://schemas.openxmlformats.org/officeDocument/2006/relationships/hyperlink" Target="http://www.waterexchange.com.au" TargetMode="External"/><Relationship Id="rId70" Type="http://schemas.openxmlformats.org/officeDocument/2006/relationships/hyperlink" Target="http://www.waterexchange.com.au" TargetMode="External"/><Relationship Id="rId75" Type="http://schemas.openxmlformats.org/officeDocument/2006/relationships/hyperlink" Target="http://registers.water.nsw.gov.au/wma/WaterShareIntraWSLocSearch.jsp?selectedRegister=WaterShare" TargetMode="External"/><Relationship Id="rId91" Type="http://schemas.openxmlformats.org/officeDocument/2006/relationships/hyperlink" Target="http://www.waterexchange.com.au" TargetMode="External"/><Relationship Id="rId96" Type="http://schemas.openxmlformats.org/officeDocument/2006/relationships/hyperlink" Target="http://www.waterexchange.com.a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waterconnect.sa.gov.au/Systems/WTR/Pages/default.aspx" TargetMode="External"/><Relationship Id="rId28" Type="http://schemas.openxmlformats.org/officeDocument/2006/relationships/image" Target="media/image10.png"/><Relationship Id="rId49" Type="http://schemas.openxmlformats.org/officeDocument/2006/relationships/hyperlink" Target="http://www.waterexchange.com.au" TargetMode="External"/><Relationship Id="rId114" Type="http://schemas.openxmlformats.org/officeDocument/2006/relationships/hyperlink" Target="http://www.waterfind.com.au" TargetMode="External"/><Relationship Id="rId119" Type="http://schemas.openxmlformats.org/officeDocument/2006/relationships/image" Target="media/image44.png"/><Relationship Id="rId44" Type="http://schemas.openxmlformats.org/officeDocument/2006/relationships/hyperlink" Target="http://www.waterexchange.com.au" TargetMode="External"/><Relationship Id="rId60" Type="http://schemas.openxmlformats.org/officeDocument/2006/relationships/hyperlink" Target="http://www.waterfind.com.au" TargetMode="External"/><Relationship Id="rId65" Type="http://schemas.openxmlformats.org/officeDocument/2006/relationships/hyperlink" Target="http://www.waterfind.com.au" TargetMode="External"/><Relationship Id="rId81" Type="http://schemas.openxmlformats.org/officeDocument/2006/relationships/hyperlink" Target="http://www.murrayirrigation.com.au" TargetMode="External"/><Relationship Id="rId86" Type="http://schemas.openxmlformats.org/officeDocument/2006/relationships/hyperlink" Target="http://www.waterfind.com.au" TargetMode="External"/><Relationship Id="rId130" Type="http://schemas.openxmlformats.org/officeDocument/2006/relationships/hyperlink" Target="https://www.business.qld.gov.au/industry/water/managing-accessing/markets-trading/market-information" TargetMode="External"/><Relationship Id="rId135" Type="http://schemas.openxmlformats.org/officeDocument/2006/relationships/customXml" Target="../customXml/item5.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www.waterexchange.com.au" TargetMode="External"/><Relationship Id="rId109" Type="http://schemas.openxmlformats.org/officeDocument/2006/relationships/hyperlink" Target="http://registers.water.nsw.gov.au/wma/WaterShareIntraWSLocSearch.jsp?selectedRegister=WaterShare" TargetMode="External"/><Relationship Id="rId34" Type="http://schemas.openxmlformats.org/officeDocument/2006/relationships/hyperlink" Target="http://www.waterexchange.com.au" TargetMode="External"/><Relationship Id="rId50" Type="http://schemas.openxmlformats.org/officeDocument/2006/relationships/hyperlink" Target="http://www.waterfind.com.au" TargetMode="External"/><Relationship Id="rId55" Type="http://schemas.openxmlformats.org/officeDocument/2006/relationships/hyperlink" Target="http://www.waterfind.com.au" TargetMode="External"/><Relationship Id="rId76" Type="http://schemas.openxmlformats.org/officeDocument/2006/relationships/hyperlink" Target="http://www.waterexchange.com.au" TargetMode="External"/><Relationship Id="rId97" Type="http://schemas.openxmlformats.org/officeDocument/2006/relationships/hyperlink" Target="http://www.waterfind.com.au" TargetMode="External"/><Relationship Id="rId104" Type="http://schemas.openxmlformats.org/officeDocument/2006/relationships/image" Target="media/image37.png"/><Relationship Id="rId120" Type="http://schemas.openxmlformats.org/officeDocument/2006/relationships/image" Target="media/image45.png"/><Relationship Id="rId125" Type="http://schemas.openxmlformats.org/officeDocument/2006/relationships/hyperlink" Target="http://registers.water.nsw.gov.au/wma/WaterShareIntraWSLocSearch.jsp?selectedRegister=WaterShare" TargetMode="External"/><Relationship Id="rId7" Type="http://schemas.openxmlformats.org/officeDocument/2006/relationships/footnotes" Target="footnotes.xml"/><Relationship Id="rId71" Type="http://schemas.openxmlformats.org/officeDocument/2006/relationships/hyperlink" Target="http://www.waterfind.com.au" TargetMode="External"/><Relationship Id="rId92" Type="http://schemas.openxmlformats.org/officeDocument/2006/relationships/hyperlink" Target="http://www.waterfind.com.au" TargetMode="External"/><Relationship Id="rId2" Type="http://schemas.openxmlformats.org/officeDocument/2006/relationships/customXml" Target="../customXml/item2.xml"/><Relationship Id="rId29" Type="http://schemas.openxmlformats.org/officeDocument/2006/relationships/hyperlink" Target="http://www.waterexchange.com.au" TargetMode="External"/><Relationship Id="rId24" Type="http://schemas.openxmlformats.org/officeDocument/2006/relationships/hyperlink" Target="http://www.waterexchange.com.au" TargetMode="External"/><Relationship Id="rId40" Type="http://schemas.openxmlformats.org/officeDocument/2006/relationships/hyperlink" Target="http://www.waterfind.com.au" TargetMode="External"/><Relationship Id="rId45" Type="http://schemas.openxmlformats.org/officeDocument/2006/relationships/hyperlink" Target="http://www.waterfind.com.au" TargetMode="External"/><Relationship Id="rId66" Type="http://schemas.openxmlformats.org/officeDocument/2006/relationships/hyperlink" Target="http://www.h2ox.com" TargetMode="External"/><Relationship Id="rId87" Type="http://schemas.openxmlformats.org/officeDocument/2006/relationships/hyperlink" Target="http://www.h2ox.com" TargetMode="External"/><Relationship Id="rId110" Type="http://schemas.openxmlformats.org/officeDocument/2006/relationships/hyperlink" Target="http://www.waterfind.com.au" TargetMode="External"/><Relationship Id="rId115" Type="http://schemas.openxmlformats.org/officeDocument/2006/relationships/image" Target="media/image42.png"/><Relationship Id="rId131" Type="http://schemas.openxmlformats.org/officeDocument/2006/relationships/fontTable" Target="fontTable.xml"/><Relationship Id="rId61" Type="http://schemas.openxmlformats.org/officeDocument/2006/relationships/hyperlink" Target="http://www.h2ox.com" TargetMode="External"/><Relationship Id="rId82" Type="http://schemas.openxmlformats.org/officeDocument/2006/relationships/image" Target="media/image31.png"/><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hyperlink" Target="http://www.waterfind.com.au" TargetMode="External"/><Relationship Id="rId35" Type="http://schemas.openxmlformats.org/officeDocument/2006/relationships/hyperlink" Target="http://www.waterfind.com.au" TargetMode="External"/><Relationship Id="rId56" Type="http://schemas.openxmlformats.org/officeDocument/2006/relationships/hyperlink" Target="http://www.h2ox.com" TargetMode="External"/><Relationship Id="rId77" Type="http://schemas.openxmlformats.org/officeDocument/2006/relationships/hyperlink" Target="http://www.waterfind.com.au" TargetMode="External"/><Relationship Id="rId100" Type="http://schemas.openxmlformats.org/officeDocument/2006/relationships/hyperlink" Target="http://registers.water.nsw.gov.au/wma/WaterShareIntraWSLocSearch.jsp?selectedRegister=WaterShare" TargetMode="External"/><Relationship Id="rId105" Type="http://schemas.openxmlformats.org/officeDocument/2006/relationships/image" Target="media/image38.png"/><Relationship Id="rId126" Type="http://schemas.openxmlformats.org/officeDocument/2006/relationships/hyperlink" Target="http://www.waterfind.com.au" TargetMode="External"/><Relationship Id="rId8" Type="http://schemas.openxmlformats.org/officeDocument/2006/relationships/endnotes" Target="endnotes.xml"/><Relationship Id="rId51" Type="http://schemas.openxmlformats.org/officeDocument/2006/relationships/hyperlink" Target="http://www.h2ox.com" TargetMode="External"/><Relationship Id="rId72" Type="http://schemas.openxmlformats.org/officeDocument/2006/relationships/hyperlink" Target="http://www.h2ox.com" TargetMode="External"/><Relationship Id="rId93" Type="http://schemas.openxmlformats.org/officeDocument/2006/relationships/hyperlink" Target="http://www.h2ox.com" TargetMode="External"/><Relationship Id="rId98" Type="http://schemas.openxmlformats.org/officeDocument/2006/relationships/hyperlink" Target="http://www.h2ox.com" TargetMode="External"/><Relationship Id="rId121" Type="http://schemas.openxmlformats.org/officeDocument/2006/relationships/hyperlink" Target="http://registers.water.nsw.gov.au/wma/WaterShareIntraWSLocSearch.jsp?selectedRegister=WaterShare" TargetMode="External"/><Relationship Id="rId3" Type="http://schemas.openxmlformats.org/officeDocument/2006/relationships/numbering" Target="numbering.xml"/><Relationship Id="rId25" Type="http://schemas.openxmlformats.org/officeDocument/2006/relationships/hyperlink" Target="http://www.waterfind.com.au" TargetMode="External"/><Relationship Id="rId46" Type="http://schemas.openxmlformats.org/officeDocument/2006/relationships/hyperlink" Target="http://www.h2ox.com" TargetMode="External"/><Relationship Id="rId67" Type="http://schemas.openxmlformats.org/officeDocument/2006/relationships/image" Target="media/image25.png"/><Relationship Id="rId116" Type="http://schemas.openxmlformats.org/officeDocument/2006/relationships/image" Target="media/image43.png"/><Relationship Id="rId20" Type="http://schemas.openxmlformats.org/officeDocument/2006/relationships/image" Target="media/image6.png"/><Relationship Id="rId41" Type="http://schemas.openxmlformats.org/officeDocument/2006/relationships/hyperlink" Target="http://www.h2ox.com" TargetMode="External"/><Relationship Id="rId62" Type="http://schemas.openxmlformats.org/officeDocument/2006/relationships/image" Target="media/image23.png"/><Relationship Id="rId83" Type="http://schemas.openxmlformats.org/officeDocument/2006/relationships/image" Target="media/image32.png"/><Relationship Id="rId88" Type="http://schemas.openxmlformats.org/officeDocument/2006/relationships/image" Target="media/image33.png"/><Relationship Id="rId111" Type="http://schemas.openxmlformats.org/officeDocument/2006/relationships/image" Target="media/image40.png"/><Relationship Id="rId132" Type="http://schemas.openxmlformats.org/officeDocument/2006/relationships/theme" Target="theme/theme1.xml"/><Relationship Id="rId15" Type="http://schemas.openxmlformats.org/officeDocument/2006/relationships/header" Target="header3.xml"/><Relationship Id="rId36" Type="http://schemas.openxmlformats.org/officeDocument/2006/relationships/hyperlink" Target="http://www.h2ox.com" TargetMode="External"/><Relationship Id="rId57" Type="http://schemas.openxmlformats.org/officeDocument/2006/relationships/image" Target="media/image21.png"/><Relationship Id="rId106" Type="http://schemas.openxmlformats.org/officeDocument/2006/relationships/hyperlink" Target="http://registers.water.nsw.gov.au/wma/WaterShareIntraWSLocSearch.jsp?selectedRegister=WaterShare" TargetMode="External"/><Relationship Id="rId127" Type="http://schemas.openxmlformats.org/officeDocument/2006/relationships/header" Target="header5.xml"/><Relationship Id="rId10" Type="http://schemas.openxmlformats.org/officeDocument/2006/relationships/image" Target="media/image2.jpeg"/><Relationship Id="rId31" Type="http://schemas.openxmlformats.org/officeDocument/2006/relationships/hyperlink" Target="http://www.h2ox.com" TargetMode="External"/><Relationship Id="rId52"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hyperlink" Target="http://www.h2ox.com" TargetMode="External"/><Relationship Id="rId94" Type="http://schemas.openxmlformats.org/officeDocument/2006/relationships/image" Target="media/image35.png"/><Relationship Id="rId99" Type="http://schemas.openxmlformats.org/officeDocument/2006/relationships/image" Target="media/image36.png"/><Relationship Id="rId101" Type="http://schemas.openxmlformats.org/officeDocument/2006/relationships/hyperlink" Target="http://www.waterexchange.com.au" TargetMode="External"/><Relationship Id="rId122" Type="http://schemas.openxmlformats.org/officeDocument/2006/relationships/hyperlink" Target="http://www.waterfind.com.au" TargetMode="Externa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hyperlink" Target="http://www.h2ox.com" TargetMode="External"/><Relationship Id="rId47" Type="http://schemas.openxmlformats.org/officeDocument/2006/relationships/image" Target="media/image17.png"/><Relationship Id="rId68" Type="http://schemas.openxmlformats.org/officeDocument/2006/relationships/image" Target="media/image26.png"/><Relationship Id="rId89" Type="http://schemas.openxmlformats.org/officeDocument/2006/relationships/image" Target="media/image34.png"/><Relationship Id="rId112" Type="http://schemas.openxmlformats.org/officeDocument/2006/relationships/image" Target="media/image41.png"/><Relationship Id="rId13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www.mdba.gov.au/what-we-do/managing-rivers/water-trade/southern-connected-trading-zones" TargetMode="External"/><Relationship Id="rId1" Type="http://schemas.openxmlformats.org/officeDocument/2006/relationships/hyperlink" Target="http://www.mdba.gov.au/what-we-do/managing-rivers/water-trade/water-markets-product-info"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wmf"/></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b:Source>
    <b:Tag>Nat13</b:Tag>
    <b:SourceType>Report</b:SourceType>
    <b:Guid>{3B99DC70-8CB3-4583-A8A4-8931C26233B2}</b:Guid>
    <b:Title>Australian Water Markets Report 2012-13</b:Title>
    <b:Year>2013</b:Year>
    <b:City>Canberra</b:City>
    <b:Publisher>NWC</b:Publisher>
    <b:Author>
      <b:Author>
        <b:Corporate>National Water Commission</b:Corporate>
      </b:Author>
    </b:Author>
    <b:RefOrder>5</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3444ECAC-8F66-4D63-94B0-757CFD1B267A}"/>
</file>

<file path=customXml/itemProps2.xml><?xml version="1.0" encoding="utf-8"?>
<ds:datastoreItem xmlns:ds="http://schemas.openxmlformats.org/officeDocument/2006/customXml" ds:itemID="{69FBE6B2-8152-47DB-8A61-6701F298A83B}"/>
</file>

<file path=customXml/itemProps3.xml><?xml version="1.0" encoding="utf-8"?>
<ds:datastoreItem xmlns:ds="http://schemas.openxmlformats.org/officeDocument/2006/customXml" ds:itemID="{EEC1E806-E8E4-49CE-BE04-D4FD9D92F26F}"/>
</file>

<file path=customXml/itemProps4.xml><?xml version="1.0" encoding="utf-8"?>
<ds:datastoreItem xmlns:ds="http://schemas.openxmlformats.org/officeDocument/2006/customXml" ds:itemID="{5F3C5841-D72F-461F-BD73-B04EED9080B4}"/>
</file>

<file path=customXml/itemProps5.xml><?xml version="1.0" encoding="utf-8"?>
<ds:datastoreItem xmlns:ds="http://schemas.openxmlformats.org/officeDocument/2006/customXml" ds:itemID="{2918DD1A-BC60-40FA-9CE0-6B6C65389024}"/>
</file>

<file path=docProps/app.xml><?xml version="1.0" encoding="utf-8"?>
<Properties xmlns="http://schemas.openxmlformats.org/officeDocument/2006/extended-properties" xmlns:vt="http://schemas.openxmlformats.org/officeDocument/2006/docPropsVTypes">
  <Template>Normal.dotm</Template>
  <TotalTime>0</TotalTime>
  <Pages>32</Pages>
  <Words>4927</Words>
  <Characters>28087</Characters>
  <Application>Microsoft Office Word</Application>
  <DocSecurity>0</DocSecurity>
  <Lines>234</Lines>
  <Paragraphs>65</Paragraphs>
  <ScaleCrop>false</ScaleCrop>
  <Company/>
  <LinksUpToDate>false</LinksUpToDate>
  <CharactersWithSpaces>32949</CharactersWithSpaces>
  <SharedDoc>false</SharedDoc>
  <HLinks>
    <vt:vector size="252" baseType="variant">
      <vt:variant>
        <vt:i4>1900639</vt:i4>
      </vt:variant>
      <vt:variant>
        <vt:i4>450</vt:i4>
      </vt:variant>
      <vt:variant>
        <vt:i4>0</vt:i4>
      </vt:variant>
      <vt:variant>
        <vt:i4>5</vt:i4>
      </vt:variant>
      <vt:variant>
        <vt:lpwstr>https://www.business.qld.gov.au/industry/water/managing-accessing/markets-trading/market-information</vt:lpwstr>
      </vt:variant>
      <vt:variant>
        <vt:lpwstr/>
      </vt:variant>
      <vt:variant>
        <vt:i4>524305</vt:i4>
      </vt:variant>
      <vt:variant>
        <vt:i4>444</vt:i4>
      </vt:variant>
      <vt:variant>
        <vt:i4>0</vt:i4>
      </vt:variant>
      <vt:variant>
        <vt:i4>5</vt:i4>
      </vt:variant>
      <vt:variant>
        <vt:lpwstr>http://registers.water.nsw.gov.au/wma/WaterShareIntraWSLocSearch.jsp?selectedRegister=WaterShare</vt:lpwstr>
      </vt:variant>
      <vt:variant>
        <vt:lpwstr/>
      </vt:variant>
      <vt:variant>
        <vt:i4>524305</vt:i4>
      </vt:variant>
      <vt:variant>
        <vt:i4>432</vt:i4>
      </vt:variant>
      <vt:variant>
        <vt:i4>0</vt:i4>
      </vt:variant>
      <vt:variant>
        <vt:i4>5</vt:i4>
      </vt:variant>
      <vt:variant>
        <vt:lpwstr>http://registers.water.nsw.gov.au/wma/WaterShareIntraWSLocSearch.jsp?selectedRegister=WaterShare</vt:lpwstr>
      </vt:variant>
      <vt:variant>
        <vt:lpwstr/>
      </vt:variant>
      <vt:variant>
        <vt:i4>524305</vt:i4>
      </vt:variant>
      <vt:variant>
        <vt:i4>420</vt:i4>
      </vt:variant>
      <vt:variant>
        <vt:i4>0</vt:i4>
      </vt:variant>
      <vt:variant>
        <vt:i4>5</vt:i4>
      </vt:variant>
      <vt:variant>
        <vt:lpwstr>http://registers.water.nsw.gov.au/wma/WaterShareIntraWSLocSearch.jsp?selectedRegister=WaterShare</vt:lpwstr>
      </vt:variant>
      <vt:variant>
        <vt:lpwstr/>
      </vt:variant>
      <vt:variant>
        <vt:i4>524305</vt:i4>
      </vt:variant>
      <vt:variant>
        <vt:i4>408</vt:i4>
      </vt:variant>
      <vt:variant>
        <vt:i4>0</vt:i4>
      </vt:variant>
      <vt:variant>
        <vt:i4>5</vt:i4>
      </vt:variant>
      <vt:variant>
        <vt:lpwstr>http://registers.water.nsw.gov.au/wma/WaterShareIntraWSLocSearch.jsp?selectedRegister=WaterShare</vt:lpwstr>
      </vt:variant>
      <vt:variant>
        <vt:lpwstr/>
      </vt:variant>
      <vt:variant>
        <vt:i4>524305</vt:i4>
      </vt:variant>
      <vt:variant>
        <vt:i4>396</vt:i4>
      </vt:variant>
      <vt:variant>
        <vt:i4>0</vt:i4>
      </vt:variant>
      <vt:variant>
        <vt:i4>5</vt:i4>
      </vt:variant>
      <vt:variant>
        <vt:lpwstr>http://registers.water.nsw.gov.au/wma/WaterShareIntraWSLocSearch.jsp?selectedRegister=WaterShare</vt:lpwstr>
      </vt:variant>
      <vt:variant>
        <vt:lpwstr/>
      </vt:variant>
      <vt:variant>
        <vt:i4>524305</vt:i4>
      </vt:variant>
      <vt:variant>
        <vt:i4>381</vt:i4>
      </vt:variant>
      <vt:variant>
        <vt:i4>0</vt:i4>
      </vt:variant>
      <vt:variant>
        <vt:i4>5</vt:i4>
      </vt:variant>
      <vt:variant>
        <vt:lpwstr>http://registers.water.nsw.gov.au/wma/WaterShareIntraWSLocSearch.jsp?selectedRegister=WaterShare</vt:lpwstr>
      </vt:variant>
      <vt:variant>
        <vt:lpwstr/>
      </vt:variant>
      <vt:variant>
        <vt:i4>524305</vt:i4>
      </vt:variant>
      <vt:variant>
        <vt:i4>366</vt:i4>
      </vt:variant>
      <vt:variant>
        <vt:i4>0</vt:i4>
      </vt:variant>
      <vt:variant>
        <vt:i4>5</vt:i4>
      </vt:variant>
      <vt:variant>
        <vt:lpwstr>http://registers.water.nsw.gov.au/wma/WaterShareIntraWSLocSearch.jsp?selectedRegister=WaterShare</vt:lpwstr>
      </vt:variant>
      <vt:variant>
        <vt:lpwstr/>
      </vt:variant>
      <vt:variant>
        <vt:i4>524305</vt:i4>
      </vt:variant>
      <vt:variant>
        <vt:i4>354</vt:i4>
      </vt:variant>
      <vt:variant>
        <vt:i4>0</vt:i4>
      </vt:variant>
      <vt:variant>
        <vt:i4>5</vt:i4>
      </vt:variant>
      <vt:variant>
        <vt:lpwstr>http://registers.water.nsw.gov.au/wma/WaterShareIntraWSLocSearch.jsp?selectedRegister=WaterShare</vt:lpwstr>
      </vt:variant>
      <vt:variant>
        <vt:lpwstr/>
      </vt:variant>
      <vt:variant>
        <vt:i4>524305</vt:i4>
      </vt:variant>
      <vt:variant>
        <vt:i4>342</vt:i4>
      </vt:variant>
      <vt:variant>
        <vt:i4>0</vt:i4>
      </vt:variant>
      <vt:variant>
        <vt:i4>5</vt:i4>
      </vt:variant>
      <vt:variant>
        <vt:lpwstr>http://registers.water.nsw.gov.au/wma/WaterShareIntraWSLocSearch.jsp?selectedRegister=WaterShare</vt:lpwstr>
      </vt:variant>
      <vt:variant>
        <vt:lpwstr/>
      </vt:variant>
      <vt:variant>
        <vt:i4>524305</vt:i4>
      </vt:variant>
      <vt:variant>
        <vt:i4>330</vt:i4>
      </vt:variant>
      <vt:variant>
        <vt:i4>0</vt:i4>
      </vt:variant>
      <vt:variant>
        <vt:i4>5</vt:i4>
      </vt:variant>
      <vt:variant>
        <vt:lpwstr>http://registers.water.nsw.gov.au/wma/WaterShareIntraWSLocSearch.jsp?selectedRegister=WaterShare</vt:lpwstr>
      </vt:variant>
      <vt:variant>
        <vt:lpwstr/>
      </vt:variant>
      <vt:variant>
        <vt:i4>2621500</vt:i4>
      </vt:variant>
      <vt:variant>
        <vt:i4>315</vt:i4>
      </vt:variant>
      <vt:variant>
        <vt:i4>0</vt:i4>
      </vt:variant>
      <vt:variant>
        <vt:i4>5</vt:i4>
      </vt:variant>
      <vt:variant>
        <vt:lpwstr>http://www.murrayirrigation.com.au/</vt:lpwstr>
      </vt:variant>
      <vt:variant>
        <vt:lpwstr/>
      </vt:variant>
      <vt:variant>
        <vt:i4>524305</vt:i4>
      </vt:variant>
      <vt:variant>
        <vt:i4>300</vt:i4>
      </vt:variant>
      <vt:variant>
        <vt:i4>0</vt:i4>
      </vt:variant>
      <vt:variant>
        <vt:i4>5</vt:i4>
      </vt:variant>
      <vt:variant>
        <vt:lpwstr>http://registers.water.nsw.gov.au/wma/WaterShareIntraWSLocSearch.jsp?selectedRegister=WaterShare</vt:lpwstr>
      </vt:variant>
      <vt:variant>
        <vt:lpwstr/>
      </vt:variant>
      <vt:variant>
        <vt:i4>524305</vt:i4>
      </vt:variant>
      <vt:variant>
        <vt:i4>285</vt:i4>
      </vt:variant>
      <vt:variant>
        <vt:i4>0</vt:i4>
      </vt:variant>
      <vt:variant>
        <vt:i4>5</vt:i4>
      </vt:variant>
      <vt:variant>
        <vt:lpwstr>http://registers.water.nsw.gov.au/wma/WaterShareIntraWSLocSearch.jsp?selectedRegister=WaterShare</vt:lpwstr>
      </vt:variant>
      <vt:variant>
        <vt:lpwstr/>
      </vt:variant>
      <vt:variant>
        <vt:i4>1048635</vt:i4>
      </vt:variant>
      <vt:variant>
        <vt:i4>152</vt:i4>
      </vt:variant>
      <vt:variant>
        <vt:i4>0</vt:i4>
      </vt:variant>
      <vt:variant>
        <vt:i4>5</vt:i4>
      </vt:variant>
      <vt:variant>
        <vt:lpwstr/>
      </vt:variant>
      <vt:variant>
        <vt:lpwstr>_Toc427186023</vt:lpwstr>
      </vt:variant>
      <vt:variant>
        <vt:i4>1048635</vt:i4>
      </vt:variant>
      <vt:variant>
        <vt:i4>146</vt:i4>
      </vt:variant>
      <vt:variant>
        <vt:i4>0</vt:i4>
      </vt:variant>
      <vt:variant>
        <vt:i4>5</vt:i4>
      </vt:variant>
      <vt:variant>
        <vt:lpwstr/>
      </vt:variant>
      <vt:variant>
        <vt:lpwstr>_Toc427186022</vt:lpwstr>
      </vt:variant>
      <vt:variant>
        <vt:i4>1048635</vt:i4>
      </vt:variant>
      <vt:variant>
        <vt:i4>140</vt:i4>
      </vt:variant>
      <vt:variant>
        <vt:i4>0</vt:i4>
      </vt:variant>
      <vt:variant>
        <vt:i4>5</vt:i4>
      </vt:variant>
      <vt:variant>
        <vt:lpwstr/>
      </vt:variant>
      <vt:variant>
        <vt:lpwstr>_Toc427186021</vt:lpwstr>
      </vt:variant>
      <vt:variant>
        <vt:i4>1048635</vt:i4>
      </vt:variant>
      <vt:variant>
        <vt:i4>134</vt:i4>
      </vt:variant>
      <vt:variant>
        <vt:i4>0</vt:i4>
      </vt:variant>
      <vt:variant>
        <vt:i4>5</vt:i4>
      </vt:variant>
      <vt:variant>
        <vt:lpwstr/>
      </vt:variant>
      <vt:variant>
        <vt:lpwstr>_Toc427186020</vt:lpwstr>
      </vt:variant>
      <vt:variant>
        <vt:i4>1245243</vt:i4>
      </vt:variant>
      <vt:variant>
        <vt:i4>128</vt:i4>
      </vt:variant>
      <vt:variant>
        <vt:i4>0</vt:i4>
      </vt:variant>
      <vt:variant>
        <vt:i4>5</vt:i4>
      </vt:variant>
      <vt:variant>
        <vt:lpwstr/>
      </vt:variant>
      <vt:variant>
        <vt:lpwstr>_Toc427186019</vt:lpwstr>
      </vt:variant>
      <vt:variant>
        <vt:i4>1245243</vt:i4>
      </vt:variant>
      <vt:variant>
        <vt:i4>122</vt:i4>
      </vt:variant>
      <vt:variant>
        <vt:i4>0</vt:i4>
      </vt:variant>
      <vt:variant>
        <vt:i4>5</vt:i4>
      </vt:variant>
      <vt:variant>
        <vt:lpwstr/>
      </vt:variant>
      <vt:variant>
        <vt:lpwstr>_Toc427186018</vt:lpwstr>
      </vt:variant>
      <vt:variant>
        <vt:i4>1245243</vt:i4>
      </vt:variant>
      <vt:variant>
        <vt:i4>116</vt:i4>
      </vt:variant>
      <vt:variant>
        <vt:i4>0</vt:i4>
      </vt:variant>
      <vt:variant>
        <vt:i4>5</vt:i4>
      </vt:variant>
      <vt:variant>
        <vt:lpwstr/>
      </vt:variant>
      <vt:variant>
        <vt:lpwstr>_Toc427186017</vt:lpwstr>
      </vt:variant>
      <vt:variant>
        <vt:i4>1245243</vt:i4>
      </vt:variant>
      <vt:variant>
        <vt:i4>110</vt:i4>
      </vt:variant>
      <vt:variant>
        <vt:i4>0</vt:i4>
      </vt:variant>
      <vt:variant>
        <vt:i4>5</vt:i4>
      </vt:variant>
      <vt:variant>
        <vt:lpwstr/>
      </vt:variant>
      <vt:variant>
        <vt:lpwstr>_Toc427186016</vt:lpwstr>
      </vt:variant>
      <vt:variant>
        <vt:i4>1245243</vt:i4>
      </vt:variant>
      <vt:variant>
        <vt:i4>104</vt:i4>
      </vt:variant>
      <vt:variant>
        <vt:i4>0</vt:i4>
      </vt:variant>
      <vt:variant>
        <vt:i4>5</vt:i4>
      </vt:variant>
      <vt:variant>
        <vt:lpwstr/>
      </vt:variant>
      <vt:variant>
        <vt:lpwstr>_Toc427186015</vt:lpwstr>
      </vt:variant>
      <vt:variant>
        <vt:i4>1245243</vt:i4>
      </vt:variant>
      <vt:variant>
        <vt:i4>98</vt:i4>
      </vt:variant>
      <vt:variant>
        <vt:i4>0</vt:i4>
      </vt:variant>
      <vt:variant>
        <vt:i4>5</vt:i4>
      </vt:variant>
      <vt:variant>
        <vt:lpwstr/>
      </vt:variant>
      <vt:variant>
        <vt:lpwstr>_Toc427186014</vt:lpwstr>
      </vt:variant>
      <vt:variant>
        <vt:i4>1245243</vt:i4>
      </vt:variant>
      <vt:variant>
        <vt:i4>92</vt:i4>
      </vt:variant>
      <vt:variant>
        <vt:i4>0</vt:i4>
      </vt:variant>
      <vt:variant>
        <vt:i4>5</vt:i4>
      </vt:variant>
      <vt:variant>
        <vt:lpwstr/>
      </vt:variant>
      <vt:variant>
        <vt:lpwstr>_Toc427186013</vt:lpwstr>
      </vt:variant>
      <vt:variant>
        <vt:i4>1245243</vt:i4>
      </vt:variant>
      <vt:variant>
        <vt:i4>86</vt:i4>
      </vt:variant>
      <vt:variant>
        <vt:i4>0</vt:i4>
      </vt:variant>
      <vt:variant>
        <vt:i4>5</vt:i4>
      </vt:variant>
      <vt:variant>
        <vt:lpwstr/>
      </vt:variant>
      <vt:variant>
        <vt:lpwstr>_Toc427186012</vt:lpwstr>
      </vt:variant>
      <vt:variant>
        <vt:i4>1245243</vt:i4>
      </vt:variant>
      <vt:variant>
        <vt:i4>80</vt:i4>
      </vt:variant>
      <vt:variant>
        <vt:i4>0</vt:i4>
      </vt:variant>
      <vt:variant>
        <vt:i4>5</vt:i4>
      </vt:variant>
      <vt:variant>
        <vt:lpwstr/>
      </vt:variant>
      <vt:variant>
        <vt:lpwstr>_Toc427186011</vt:lpwstr>
      </vt:variant>
      <vt:variant>
        <vt:i4>1245243</vt:i4>
      </vt:variant>
      <vt:variant>
        <vt:i4>74</vt:i4>
      </vt:variant>
      <vt:variant>
        <vt:i4>0</vt:i4>
      </vt:variant>
      <vt:variant>
        <vt:i4>5</vt:i4>
      </vt:variant>
      <vt:variant>
        <vt:lpwstr/>
      </vt:variant>
      <vt:variant>
        <vt:lpwstr>_Toc427186010</vt:lpwstr>
      </vt:variant>
      <vt:variant>
        <vt:i4>1179707</vt:i4>
      </vt:variant>
      <vt:variant>
        <vt:i4>68</vt:i4>
      </vt:variant>
      <vt:variant>
        <vt:i4>0</vt:i4>
      </vt:variant>
      <vt:variant>
        <vt:i4>5</vt:i4>
      </vt:variant>
      <vt:variant>
        <vt:lpwstr/>
      </vt:variant>
      <vt:variant>
        <vt:lpwstr>_Toc427186009</vt:lpwstr>
      </vt:variant>
      <vt:variant>
        <vt:i4>1179707</vt:i4>
      </vt:variant>
      <vt:variant>
        <vt:i4>62</vt:i4>
      </vt:variant>
      <vt:variant>
        <vt:i4>0</vt:i4>
      </vt:variant>
      <vt:variant>
        <vt:i4>5</vt:i4>
      </vt:variant>
      <vt:variant>
        <vt:lpwstr/>
      </vt:variant>
      <vt:variant>
        <vt:lpwstr>_Toc427186008</vt:lpwstr>
      </vt:variant>
      <vt:variant>
        <vt:i4>1179707</vt:i4>
      </vt:variant>
      <vt:variant>
        <vt:i4>56</vt:i4>
      </vt:variant>
      <vt:variant>
        <vt:i4>0</vt:i4>
      </vt:variant>
      <vt:variant>
        <vt:i4>5</vt:i4>
      </vt:variant>
      <vt:variant>
        <vt:lpwstr/>
      </vt:variant>
      <vt:variant>
        <vt:lpwstr>_Toc427186007</vt:lpwstr>
      </vt:variant>
      <vt:variant>
        <vt:i4>1179707</vt:i4>
      </vt:variant>
      <vt:variant>
        <vt:i4>50</vt:i4>
      </vt:variant>
      <vt:variant>
        <vt:i4>0</vt:i4>
      </vt:variant>
      <vt:variant>
        <vt:i4>5</vt:i4>
      </vt:variant>
      <vt:variant>
        <vt:lpwstr/>
      </vt:variant>
      <vt:variant>
        <vt:lpwstr>_Toc427186006</vt:lpwstr>
      </vt:variant>
      <vt:variant>
        <vt:i4>1179707</vt:i4>
      </vt:variant>
      <vt:variant>
        <vt:i4>44</vt:i4>
      </vt:variant>
      <vt:variant>
        <vt:i4>0</vt:i4>
      </vt:variant>
      <vt:variant>
        <vt:i4>5</vt:i4>
      </vt:variant>
      <vt:variant>
        <vt:lpwstr/>
      </vt:variant>
      <vt:variant>
        <vt:lpwstr>_Toc427186005</vt:lpwstr>
      </vt:variant>
      <vt:variant>
        <vt:i4>1179707</vt:i4>
      </vt:variant>
      <vt:variant>
        <vt:i4>38</vt:i4>
      </vt:variant>
      <vt:variant>
        <vt:i4>0</vt:i4>
      </vt:variant>
      <vt:variant>
        <vt:i4>5</vt:i4>
      </vt:variant>
      <vt:variant>
        <vt:lpwstr/>
      </vt:variant>
      <vt:variant>
        <vt:lpwstr>_Toc427186004</vt:lpwstr>
      </vt:variant>
      <vt:variant>
        <vt:i4>1179707</vt:i4>
      </vt:variant>
      <vt:variant>
        <vt:i4>32</vt:i4>
      </vt:variant>
      <vt:variant>
        <vt:i4>0</vt:i4>
      </vt:variant>
      <vt:variant>
        <vt:i4>5</vt:i4>
      </vt:variant>
      <vt:variant>
        <vt:lpwstr/>
      </vt:variant>
      <vt:variant>
        <vt:lpwstr>_Toc427186003</vt:lpwstr>
      </vt:variant>
      <vt:variant>
        <vt:i4>1179707</vt:i4>
      </vt:variant>
      <vt:variant>
        <vt:i4>26</vt:i4>
      </vt:variant>
      <vt:variant>
        <vt:i4>0</vt:i4>
      </vt:variant>
      <vt:variant>
        <vt:i4>5</vt:i4>
      </vt:variant>
      <vt:variant>
        <vt:lpwstr/>
      </vt:variant>
      <vt:variant>
        <vt:lpwstr>_Toc427186002</vt:lpwstr>
      </vt:variant>
      <vt:variant>
        <vt:i4>1179707</vt:i4>
      </vt:variant>
      <vt:variant>
        <vt:i4>20</vt:i4>
      </vt:variant>
      <vt:variant>
        <vt:i4>0</vt:i4>
      </vt:variant>
      <vt:variant>
        <vt:i4>5</vt:i4>
      </vt:variant>
      <vt:variant>
        <vt:lpwstr/>
      </vt:variant>
      <vt:variant>
        <vt:lpwstr>_Toc427186001</vt:lpwstr>
      </vt:variant>
      <vt:variant>
        <vt:i4>1179707</vt:i4>
      </vt:variant>
      <vt:variant>
        <vt:i4>14</vt:i4>
      </vt:variant>
      <vt:variant>
        <vt:i4>0</vt:i4>
      </vt:variant>
      <vt:variant>
        <vt:i4>5</vt:i4>
      </vt:variant>
      <vt:variant>
        <vt:lpwstr/>
      </vt:variant>
      <vt:variant>
        <vt:lpwstr>_Toc427186000</vt:lpwstr>
      </vt:variant>
      <vt:variant>
        <vt:i4>1572914</vt:i4>
      </vt:variant>
      <vt:variant>
        <vt:i4>8</vt:i4>
      </vt:variant>
      <vt:variant>
        <vt:i4>0</vt:i4>
      </vt:variant>
      <vt:variant>
        <vt:i4>5</vt:i4>
      </vt:variant>
      <vt:variant>
        <vt:lpwstr/>
      </vt:variant>
      <vt:variant>
        <vt:lpwstr>_Toc427185999</vt:lpwstr>
      </vt:variant>
      <vt:variant>
        <vt:i4>1572914</vt:i4>
      </vt:variant>
      <vt:variant>
        <vt:i4>2</vt:i4>
      </vt:variant>
      <vt:variant>
        <vt:i4>0</vt:i4>
      </vt:variant>
      <vt:variant>
        <vt:i4>5</vt:i4>
      </vt:variant>
      <vt:variant>
        <vt:lpwstr/>
      </vt:variant>
      <vt:variant>
        <vt:lpwstr>_Toc427185998</vt:lpwstr>
      </vt:variant>
      <vt:variant>
        <vt:i4>7864382</vt:i4>
      </vt:variant>
      <vt:variant>
        <vt:i4>3</vt:i4>
      </vt:variant>
      <vt:variant>
        <vt:i4>0</vt:i4>
      </vt:variant>
      <vt:variant>
        <vt:i4>5</vt:i4>
      </vt:variant>
      <vt:variant>
        <vt:lpwstr>http://www.mdba.gov.au/what-we-do/managing-rivers/water-trade/southern-connected-trading-zones</vt:lpwstr>
      </vt:variant>
      <vt:variant>
        <vt:lpwstr/>
      </vt:variant>
      <vt:variant>
        <vt:i4>5177363</vt:i4>
      </vt:variant>
      <vt:variant>
        <vt:i4>0</vt:i4>
      </vt:variant>
      <vt:variant>
        <vt:i4>0</vt:i4>
      </vt:variant>
      <vt:variant>
        <vt:i4>5</vt:i4>
      </vt:variant>
      <vt:variant>
        <vt:lpwstr>http://www.mdba.gov.au/what-we-do/managing-rivers/water-trade/water-markets-product-info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 2015 Quarterly Market Report darft</dc:title>
  <dc:subject/>
  <dc:creator/>
  <cp:keywords/>
  <cp:lastModifiedBy/>
  <cp:revision>1</cp:revision>
  <dcterms:created xsi:type="dcterms:W3CDTF">2016-03-03T03:20:00Z</dcterms:created>
  <dcterms:modified xsi:type="dcterms:W3CDTF">2016-03-03T03:20:00Z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