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7B0" w:rsidRPr="00320269" w:rsidRDefault="005927B0" w:rsidP="00320269">
      <w:pPr>
        <w:pStyle w:val="MJAheading2"/>
      </w:pPr>
      <w:bookmarkStart w:id="0" w:name="OLE_LINK2"/>
      <w:r w:rsidRPr="00320269">
        <w:t>Water Entitlement Market Prices across the Murray-Darling Basin</w:t>
      </w:r>
    </w:p>
    <w:p w:rsidR="005927B0" w:rsidRPr="008B3B01" w:rsidRDefault="005927B0" w:rsidP="008B3B01">
      <w:pPr>
        <w:pStyle w:val="MJAheading4"/>
      </w:pPr>
      <w:r w:rsidRPr="008B3B01">
        <w:t xml:space="preserve">Summary Report for </w:t>
      </w:r>
      <w:r w:rsidR="005D3465">
        <w:t>December</w:t>
      </w:r>
      <w:r w:rsidRPr="008B3B01">
        <w:t xml:space="preserve"> </w:t>
      </w:r>
      <w:r w:rsidR="008033A5">
        <w:t xml:space="preserve">Quarter </w:t>
      </w:r>
      <w:r w:rsidRPr="008B3B01">
        <w:t>2015</w:t>
      </w:r>
    </w:p>
    <w:p w:rsidR="003C74A1" w:rsidRDefault="003C74A1" w:rsidP="005927B0">
      <w:pPr>
        <w:pStyle w:val="MJAnormal"/>
      </w:pPr>
    </w:p>
    <w:p w:rsidR="005927B0" w:rsidRDefault="005927B0" w:rsidP="00C17777">
      <w:r>
        <w:t xml:space="preserve">Marsden Jacob Associates has been engaged by the Australian Government Department of </w:t>
      </w:r>
      <w:r w:rsidR="007278A8">
        <w:t>Agriculture and Water Resources</w:t>
      </w:r>
      <w:r>
        <w:t xml:space="preserve"> to provide</w:t>
      </w:r>
      <w:bookmarkStart w:id="1" w:name="_GoBack"/>
      <w:bookmarkEnd w:id="1"/>
      <w:r>
        <w:t xml:space="preserv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9"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9"/>
        <w:gridCol w:w="2533"/>
        <w:gridCol w:w="2533"/>
        <w:gridCol w:w="2539"/>
        <w:gridCol w:w="2542"/>
        <w:gridCol w:w="2536"/>
      </w:tblGrid>
      <w:tr w:rsidR="004A668A" w:rsidRPr="00535408" w:rsidTr="00535408">
        <w:trPr>
          <w:trHeight w:val="313"/>
        </w:trPr>
        <w:tc>
          <w:tcPr>
            <w:tcW w:w="869" w:type="pct"/>
            <w:vMerge w:val="restart"/>
            <w:tcBorders>
              <w:top w:val="nil"/>
              <w:left w:val="nil"/>
              <w:right w:val="nil"/>
            </w:tcBorders>
            <w:shd w:val="clear" w:color="auto" w:fill="0093D0"/>
            <w:vAlign w:val="center"/>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Region</w:t>
            </w:r>
          </w:p>
        </w:tc>
        <w:tc>
          <w:tcPr>
            <w:tcW w:w="825" w:type="pct"/>
            <w:vMerge w:val="restart"/>
            <w:tcBorders>
              <w:top w:val="nil"/>
              <w:left w:val="nil"/>
              <w:right w:val="nil"/>
            </w:tcBorders>
            <w:shd w:val="clear" w:color="auto" w:fill="0093D0"/>
            <w:vAlign w:val="center"/>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Entitlement Type</w:t>
            </w:r>
          </w:p>
        </w:tc>
        <w:tc>
          <w:tcPr>
            <w:tcW w:w="825" w:type="pct"/>
            <w:vMerge w:val="restart"/>
            <w:tcBorders>
              <w:top w:val="nil"/>
              <w:left w:val="nil"/>
              <w:right w:val="nil"/>
            </w:tcBorders>
            <w:shd w:val="clear" w:color="auto" w:fill="0093D0"/>
            <w:vAlign w:val="center"/>
          </w:tcPr>
          <w:p w:rsidR="00E35A35" w:rsidRPr="00535408" w:rsidRDefault="00AA4F2E" w:rsidP="00535408">
            <w:pPr>
              <w:pStyle w:val="MJAnormal"/>
              <w:jc w:val="center"/>
              <w:rPr>
                <w:rFonts w:ascii="Calibri" w:hAnsi="Calibri"/>
                <w:b/>
                <w:color w:val="FFFFFF"/>
                <w:sz w:val="20"/>
                <w:szCs w:val="16"/>
              </w:rPr>
            </w:pPr>
            <w:r>
              <w:rPr>
                <w:rFonts w:ascii="Calibri" w:hAnsi="Calibri"/>
                <w:b/>
                <w:color w:val="FFFFFF"/>
                <w:sz w:val="20"/>
                <w:szCs w:val="16"/>
              </w:rPr>
              <w:t>December</w:t>
            </w:r>
            <w:r w:rsidR="00E35A35" w:rsidRPr="00535408">
              <w:rPr>
                <w:rFonts w:ascii="Calibri" w:hAnsi="Calibri"/>
                <w:b/>
                <w:color w:val="FFFFFF"/>
                <w:sz w:val="20"/>
                <w:szCs w:val="16"/>
              </w:rPr>
              <w:t xml:space="preserve"> 2015 - Quarter VWAP</w:t>
            </w:r>
            <w:r w:rsidR="00C9433C" w:rsidRPr="00535408">
              <w:rPr>
                <w:rStyle w:val="FootnoteReference"/>
                <w:rFonts w:ascii="Calibri" w:hAnsi="Calibri"/>
                <w:b/>
                <w:color w:val="FFFFFF"/>
                <w:sz w:val="20"/>
                <w:szCs w:val="16"/>
              </w:rPr>
              <w:footnoteReference w:id="1"/>
            </w:r>
            <w:r w:rsidR="00E35A35" w:rsidRPr="00535408">
              <w:rPr>
                <w:rFonts w:ascii="Calibri" w:hAnsi="Calibri"/>
                <w:b/>
                <w:color w:val="FFFFFF"/>
                <w:sz w:val="20"/>
                <w:szCs w:val="16"/>
              </w:rPr>
              <w:t xml:space="preserve"> ($/ML)</w:t>
            </w:r>
          </w:p>
        </w:tc>
        <w:tc>
          <w:tcPr>
            <w:tcW w:w="1655" w:type="pct"/>
            <w:gridSpan w:val="2"/>
            <w:tcBorders>
              <w:top w:val="nil"/>
              <w:left w:val="nil"/>
              <w:bottom w:val="nil"/>
              <w:right w:val="nil"/>
            </w:tcBorders>
            <w:shd w:val="clear" w:color="auto" w:fill="0093D0"/>
          </w:tcPr>
          <w:p w:rsidR="00E35A35" w:rsidRPr="00535408" w:rsidRDefault="00AA4F2E" w:rsidP="000362FF">
            <w:pPr>
              <w:pStyle w:val="MJAnormal"/>
              <w:jc w:val="center"/>
              <w:rPr>
                <w:rFonts w:ascii="Calibri" w:hAnsi="Calibri"/>
                <w:b/>
                <w:color w:val="FFFFFF"/>
                <w:sz w:val="20"/>
                <w:szCs w:val="16"/>
              </w:rPr>
            </w:pPr>
            <w:r>
              <w:rPr>
                <w:rFonts w:ascii="Calibri" w:hAnsi="Calibri"/>
                <w:b/>
                <w:color w:val="FFFFFF"/>
                <w:sz w:val="20"/>
                <w:szCs w:val="16"/>
              </w:rPr>
              <w:t>December</w:t>
            </w:r>
            <w:r w:rsidRPr="00535408">
              <w:rPr>
                <w:rFonts w:ascii="Calibri" w:hAnsi="Calibri"/>
                <w:b/>
                <w:color w:val="FFFFFF"/>
                <w:sz w:val="20"/>
                <w:szCs w:val="16"/>
              </w:rPr>
              <w:t xml:space="preserve"> </w:t>
            </w:r>
            <w:r w:rsidR="00E35A35" w:rsidRPr="00535408">
              <w:rPr>
                <w:rFonts w:ascii="Calibri" w:hAnsi="Calibri"/>
                <w:b/>
                <w:color w:val="FFFFFF"/>
                <w:sz w:val="20"/>
                <w:szCs w:val="16"/>
              </w:rPr>
              <w:t xml:space="preserve">2015 </w:t>
            </w:r>
            <w:r w:rsidR="00903D3D">
              <w:rPr>
                <w:rFonts w:ascii="Calibri" w:hAnsi="Calibri"/>
                <w:b/>
                <w:color w:val="FFFFFF"/>
                <w:sz w:val="20"/>
                <w:szCs w:val="16"/>
              </w:rPr>
              <w:t>–</w:t>
            </w:r>
            <w:r w:rsidR="00E35A35" w:rsidRPr="00535408">
              <w:rPr>
                <w:rFonts w:ascii="Calibri" w:hAnsi="Calibri"/>
                <w:b/>
                <w:color w:val="FFFFFF"/>
                <w:sz w:val="20"/>
                <w:szCs w:val="16"/>
              </w:rPr>
              <w:t xml:space="preserve"> Quarter</w:t>
            </w:r>
          </w:p>
        </w:tc>
        <w:tc>
          <w:tcPr>
            <w:tcW w:w="826" w:type="pct"/>
            <w:vMerge w:val="restart"/>
            <w:tcBorders>
              <w:top w:val="nil"/>
              <w:left w:val="nil"/>
              <w:right w:val="nil"/>
            </w:tcBorders>
            <w:shd w:val="clear" w:color="auto" w:fill="0093D0"/>
            <w:vAlign w:val="center"/>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 xml:space="preserve">Water </w:t>
            </w:r>
            <w:r w:rsidR="00CD5DAF" w:rsidRPr="00535408">
              <w:rPr>
                <w:rFonts w:ascii="Calibri" w:hAnsi="Calibri"/>
                <w:b/>
                <w:color w:val="FFFFFF"/>
                <w:sz w:val="20"/>
                <w:szCs w:val="16"/>
              </w:rPr>
              <w:t>Intermediary</w:t>
            </w:r>
            <w:r w:rsidRPr="00535408">
              <w:rPr>
                <w:rFonts w:ascii="Calibri" w:hAnsi="Calibri"/>
                <w:b/>
                <w:color w:val="FFFFFF"/>
                <w:sz w:val="20"/>
                <w:szCs w:val="16"/>
              </w:rPr>
              <w:t xml:space="preserve"> Prices</w:t>
            </w:r>
            <w:r w:rsidR="00C9433C" w:rsidRPr="00535408">
              <w:rPr>
                <w:rStyle w:val="FootnoteReference"/>
                <w:rFonts w:ascii="Calibri" w:hAnsi="Calibri"/>
                <w:b/>
                <w:color w:val="FFFFFF"/>
                <w:sz w:val="20"/>
                <w:szCs w:val="16"/>
              </w:rPr>
              <w:footnoteReference w:id="2"/>
            </w:r>
            <w:r w:rsidRPr="00535408">
              <w:rPr>
                <w:rFonts w:ascii="Calibri" w:hAnsi="Calibri"/>
                <w:b/>
                <w:color w:val="FFFFFF"/>
                <w:sz w:val="20"/>
                <w:szCs w:val="16"/>
              </w:rPr>
              <w:t xml:space="preserve"> ($/ML)</w:t>
            </w:r>
          </w:p>
        </w:tc>
      </w:tr>
      <w:tr w:rsidR="004A668A" w:rsidRPr="00535408" w:rsidTr="00535408">
        <w:trPr>
          <w:trHeight w:val="353"/>
        </w:trPr>
        <w:tc>
          <w:tcPr>
            <w:tcW w:w="869" w:type="pct"/>
            <w:vMerge/>
            <w:tcBorders>
              <w:left w:val="nil"/>
              <w:bottom w:val="nil"/>
              <w:right w:val="nil"/>
            </w:tcBorders>
            <w:shd w:val="clear" w:color="auto" w:fill="0093D0"/>
          </w:tcPr>
          <w:p w:rsidR="00E35A35" w:rsidRPr="00535408" w:rsidRDefault="00E35A35" w:rsidP="005927B0">
            <w:pPr>
              <w:pStyle w:val="MJAnormal"/>
              <w:rPr>
                <w:rFonts w:ascii="Calibri" w:hAnsi="Calibri"/>
                <w:b/>
                <w:color w:val="FFFFFF"/>
                <w:sz w:val="20"/>
                <w:szCs w:val="16"/>
              </w:rPr>
            </w:pPr>
          </w:p>
        </w:tc>
        <w:tc>
          <w:tcPr>
            <w:tcW w:w="825" w:type="pct"/>
            <w:vMerge/>
            <w:tcBorders>
              <w:left w:val="nil"/>
              <w:bottom w:val="nil"/>
              <w:right w:val="nil"/>
            </w:tcBorders>
            <w:shd w:val="clear" w:color="auto" w:fill="0093D0"/>
          </w:tcPr>
          <w:p w:rsidR="00E35A35" w:rsidRPr="00535408" w:rsidRDefault="00E35A35" w:rsidP="005927B0">
            <w:pPr>
              <w:pStyle w:val="MJAnormal"/>
              <w:rPr>
                <w:rFonts w:ascii="Calibri" w:hAnsi="Calibri"/>
                <w:b/>
                <w:color w:val="FFFFFF"/>
                <w:sz w:val="20"/>
                <w:szCs w:val="16"/>
              </w:rPr>
            </w:pPr>
          </w:p>
        </w:tc>
        <w:tc>
          <w:tcPr>
            <w:tcW w:w="825" w:type="pct"/>
            <w:vMerge/>
            <w:tcBorders>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25th percentile</w:t>
            </w:r>
            <w:r w:rsidR="006B029C">
              <w:rPr>
                <w:rFonts w:ascii="Calibri" w:hAnsi="Calibri"/>
                <w:b/>
                <w:color w:val="FFFFFF"/>
                <w:sz w:val="20"/>
                <w:szCs w:val="16"/>
              </w:rPr>
              <w:t xml:space="preserve"> ($/ML)</w:t>
            </w:r>
          </w:p>
        </w:tc>
        <w:tc>
          <w:tcPr>
            <w:tcW w:w="828" w:type="pct"/>
            <w:tcBorders>
              <w:top w:val="nil"/>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75th percentile</w:t>
            </w:r>
            <w:r w:rsidR="006B029C">
              <w:rPr>
                <w:rFonts w:ascii="Calibri" w:hAnsi="Calibri"/>
                <w:b/>
                <w:color w:val="FFFFFF"/>
                <w:sz w:val="20"/>
                <w:szCs w:val="16"/>
              </w:rPr>
              <w:t xml:space="preserve"> ($/ML)</w:t>
            </w:r>
          </w:p>
        </w:tc>
        <w:tc>
          <w:tcPr>
            <w:tcW w:w="826" w:type="pct"/>
            <w:vMerge/>
            <w:tcBorders>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p>
        </w:tc>
      </w:tr>
      <w:tr w:rsidR="00A64FB4" w:rsidRPr="00535408" w:rsidTr="00535408">
        <w:tc>
          <w:tcPr>
            <w:tcW w:w="5000" w:type="pct"/>
            <w:gridSpan w:val="6"/>
            <w:tcBorders>
              <w:top w:val="nil"/>
              <w:left w:val="nil"/>
              <w:bottom w:val="single" w:sz="4" w:space="0" w:color="0093D0"/>
              <w:right w:val="single" w:sz="4" w:space="0" w:color="0093D0"/>
            </w:tcBorders>
            <w:shd w:val="clear" w:color="auto" w:fill="D9D9D9"/>
            <w:vAlign w:val="center"/>
          </w:tcPr>
          <w:p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F324B4" w:rsidRPr="00535408" w:rsidTr="006B029C">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1,945</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1,710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jc w:val="center"/>
              <w:rPr>
                <w:rFonts w:cs="Arial"/>
                <w:sz w:val="16"/>
                <w:szCs w:val="16"/>
              </w:rPr>
            </w:pPr>
            <w:r w:rsidRPr="00F324B4">
              <w:rPr>
                <w:rFonts w:cs="Arial"/>
                <w:sz w:val="16"/>
                <w:szCs w:val="16"/>
              </w:rPr>
              <w:t>2,550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sidRPr="0026552D">
              <w:rPr>
                <w:rFonts w:cs="Arial"/>
                <w:sz w:val="16"/>
                <w:szCs w:val="16"/>
              </w:rPr>
              <w:t>2,750</w:t>
            </w:r>
            <w:r>
              <w:rPr>
                <w:rFonts w:cs="Arial"/>
                <w:sz w:val="16"/>
                <w:szCs w:val="16"/>
              </w:rPr>
              <w:t xml:space="preserve"> – 3,400</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2,236</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1,800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2,400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sidRPr="0026552D">
              <w:rPr>
                <w:rFonts w:cs="Arial"/>
                <w:sz w:val="16"/>
                <w:szCs w:val="16"/>
              </w:rPr>
              <w:t>2</w:t>
            </w:r>
            <w:r w:rsidR="0050258E">
              <w:rPr>
                <w:rFonts w:cs="Arial"/>
                <w:sz w:val="16"/>
                <w:szCs w:val="16"/>
              </w:rPr>
              <w:t>,600 – 3,150</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218</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200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250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Pr>
                <w:rFonts w:cs="Arial"/>
                <w:sz w:val="16"/>
                <w:szCs w:val="16"/>
              </w:rPr>
              <w:t>230</w:t>
            </w:r>
            <w:r w:rsidRPr="0026552D">
              <w:rPr>
                <w:rFonts w:cs="Arial"/>
                <w:sz w:val="16"/>
                <w:szCs w:val="16"/>
              </w:rPr>
              <w:t xml:space="preserve"> – </w:t>
            </w:r>
            <w:r>
              <w:rPr>
                <w:rFonts w:cs="Arial"/>
                <w:sz w:val="16"/>
                <w:szCs w:val="16"/>
              </w:rPr>
              <w:t>270</w:t>
            </w:r>
            <w:r w:rsidRPr="0026552D">
              <w:rPr>
                <w:rFonts w:cs="Arial"/>
                <w:sz w:val="16"/>
                <w:szCs w:val="16"/>
              </w:rPr>
              <w:t xml:space="preserve"> </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2,551</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2,000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2,550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sidRPr="0026552D">
              <w:rPr>
                <w:rFonts w:cs="Arial"/>
                <w:sz w:val="16"/>
                <w:szCs w:val="16"/>
              </w:rPr>
              <w:t>2,</w:t>
            </w:r>
            <w:r>
              <w:rPr>
                <w:rFonts w:cs="Arial"/>
                <w:sz w:val="16"/>
                <w:szCs w:val="16"/>
              </w:rPr>
              <w:t>75</w:t>
            </w:r>
            <w:r w:rsidRPr="0026552D">
              <w:rPr>
                <w:rFonts w:cs="Arial"/>
                <w:sz w:val="16"/>
                <w:szCs w:val="16"/>
              </w:rPr>
              <w:t xml:space="preserve">0 – </w:t>
            </w:r>
            <w:r>
              <w:rPr>
                <w:rFonts w:cs="Arial"/>
                <w:sz w:val="16"/>
                <w:szCs w:val="16"/>
              </w:rPr>
              <w:t>3</w:t>
            </w:r>
            <w:r w:rsidRPr="0026552D">
              <w:rPr>
                <w:rFonts w:cs="Arial"/>
                <w:sz w:val="16"/>
                <w:szCs w:val="16"/>
              </w:rPr>
              <w:t>,</w:t>
            </w:r>
            <w:r>
              <w:rPr>
                <w:rFonts w:cs="Arial"/>
                <w:sz w:val="16"/>
                <w:szCs w:val="16"/>
              </w:rPr>
              <w:t>2</w:t>
            </w:r>
            <w:r w:rsidRPr="0026552D">
              <w:rPr>
                <w:rFonts w:cs="Arial"/>
                <w:sz w:val="16"/>
                <w:szCs w:val="16"/>
              </w:rPr>
              <w:t xml:space="preserve">50 </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262</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250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280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sidRPr="0026552D">
              <w:rPr>
                <w:rFonts w:cs="Arial"/>
                <w:sz w:val="16"/>
                <w:szCs w:val="16"/>
              </w:rPr>
              <w:t>2</w:t>
            </w:r>
            <w:r>
              <w:rPr>
                <w:rFonts w:cs="Arial"/>
                <w:sz w:val="16"/>
                <w:szCs w:val="16"/>
              </w:rPr>
              <w:t>5</w:t>
            </w:r>
            <w:r w:rsidRPr="0026552D">
              <w:rPr>
                <w:rFonts w:cs="Arial"/>
                <w:sz w:val="16"/>
                <w:szCs w:val="16"/>
              </w:rPr>
              <w:t xml:space="preserve">0 – 300 </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2,336</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2,000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2,480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Pr>
                <w:rFonts w:cs="Arial"/>
                <w:sz w:val="16"/>
                <w:szCs w:val="16"/>
              </w:rPr>
              <w:t>2,800 – 3,000</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249</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240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250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sidRPr="0026552D">
              <w:rPr>
                <w:rFonts w:cs="Arial"/>
                <w:sz w:val="16"/>
                <w:szCs w:val="16"/>
              </w:rPr>
              <w:t>2</w:t>
            </w:r>
            <w:r>
              <w:rPr>
                <w:rFonts w:cs="Arial"/>
                <w:sz w:val="16"/>
                <w:szCs w:val="16"/>
              </w:rPr>
              <w:t>50</w:t>
            </w:r>
            <w:r w:rsidRPr="0026552D">
              <w:rPr>
                <w:rFonts w:cs="Arial"/>
                <w:sz w:val="16"/>
                <w:szCs w:val="16"/>
              </w:rPr>
              <w:t xml:space="preserve"> – 2</w:t>
            </w:r>
            <w:r>
              <w:rPr>
                <w:rFonts w:cs="Arial"/>
                <w:sz w:val="16"/>
                <w:szCs w:val="16"/>
              </w:rPr>
              <w:t>6</w:t>
            </w:r>
            <w:r w:rsidRPr="0026552D">
              <w:rPr>
                <w:rFonts w:cs="Arial"/>
                <w:sz w:val="16"/>
                <w:szCs w:val="16"/>
              </w:rPr>
              <w:t xml:space="preserve">0 </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1,501</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1,200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1,563</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Pr>
                <w:rFonts w:cs="Arial"/>
                <w:sz w:val="16"/>
                <w:szCs w:val="16"/>
              </w:rPr>
              <w:t xml:space="preserve">2,500 – 2,700 </w:t>
            </w:r>
          </w:p>
        </w:tc>
      </w:tr>
      <w:tr w:rsidR="00F324B4" w:rsidRPr="00535408" w:rsidTr="000362FF">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F324B4" w:rsidRDefault="00F324B4" w:rsidP="00F324B4">
            <w:pPr>
              <w:spacing w:before="40" w:after="40" w:line="240" w:lineRule="auto"/>
              <w:jc w:val="center"/>
              <w:rPr>
                <w:rFonts w:cs="Arial"/>
                <w:sz w:val="16"/>
                <w:szCs w:val="16"/>
              </w:rPr>
            </w:pPr>
            <w:r w:rsidRPr="00F324B4">
              <w:rPr>
                <w:rFonts w:cs="Arial"/>
                <w:sz w:val="16"/>
                <w:szCs w:val="16"/>
              </w:rPr>
              <w:t>1,526</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1,550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1,700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sidRPr="0026552D">
              <w:rPr>
                <w:rFonts w:cs="Arial"/>
                <w:sz w:val="16"/>
                <w:szCs w:val="16"/>
              </w:rPr>
              <w:t>No listings</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NSW Murray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1,099</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1,033</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jc w:val="center"/>
              <w:rPr>
                <w:rFonts w:cs="Arial"/>
                <w:sz w:val="16"/>
                <w:szCs w:val="16"/>
              </w:rPr>
            </w:pPr>
            <w:r w:rsidRPr="00F324B4">
              <w:rPr>
                <w:rFonts w:cs="Arial"/>
                <w:sz w:val="16"/>
                <w:szCs w:val="16"/>
              </w:rPr>
              <w:t>1,200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Pr>
                <w:rFonts w:cs="Arial"/>
                <w:sz w:val="16"/>
                <w:szCs w:val="16"/>
              </w:rPr>
              <w:t>975 – 1,500</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NSW Murray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High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2,524</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2,413</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2,845</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sidRPr="0026552D">
              <w:rPr>
                <w:rFonts w:cs="Arial"/>
                <w:sz w:val="16"/>
                <w:szCs w:val="16"/>
              </w:rPr>
              <w:t>2,750 – 3,</w:t>
            </w:r>
            <w:r>
              <w:rPr>
                <w:rFonts w:cs="Arial"/>
                <w:sz w:val="16"/>
                <w:szCs w:val="16"/>
              </w:rPr>
              <w:t>3</w:t>
            </w:r>
            <w:r w:rsidRPr="0026552D">
              <w:rPr>
                <w:rFonts w:cs="Arial"/>
                <w:sz w:val="16"/>
                <w:szCs w:val="16"/>
              </w:rPr>
              <w:t>00</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NSW Murray Irrigation Limited</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1,084</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1,000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1,150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Pr>
                <w:rFonts w:cs="Arial"/>
                <w:sz w:val="16"/>
                <w:szCs w:val="16"/>
              </w:rPr>
              <w:t>850 – 1,250</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Murrumbidgee</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1,398</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1,300</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1,413</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sidRPr="0026552D">
              <w:rPr>
                <w:rFonts w:cs="Arial"/>
                <w:sz w:val="16"/>
                <w:szCs w:val="16"/>
              </w:rPr>
              <w:t>1,3</w:t>
            </w:r>
            <w:r>
              <w:rPr>
                <w:rFonts w:cs="Arial"/>
                <w:sz w:val="16"/>
                <w:szCs w:val="16"/>
              </w:rPr>
              <w:t>0</w:t>
            </w:r>
            <w:r w:rsidRPr="0026552D">
              <w:rPr>
                <w:rFonts w:cs="Arial"/>
                <w:sz w:val="16"/>
                <w:szCs w:val="16"/>
              </w:rPr>
              <w:t>0 – 1,</w:t>
            </w:r>
            <w:r>
              <w:rPr>
                <w:rFonts w:cs="Arial"/>
                <w:sz w:val="16"/>
                <w:szCs w:val="16"/>
              </w:rPr>
              <w:t>650</w:t>
            </w:r>
          </w:p>
        </w:tc>
      </w:tr>
      <w:tr w:rsidR="00F324B4" w:rsidRPr="00535408" w:rsidTr="00535408">
        <w:tc>
          <w:tcPr>
            <w:tcW w:w="869" w:type="pct"/>
            <w:tcBorders>
              <w:top w:val="single" w:sz="4" w:space="0" w:color="0093D0"/>
              <w:left w:val="nil"/>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Murrumbidgee</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535408" w:rsidRDefault="00F324B4" w:rsidP="00F324B4">
            <w:pPr>
              <w:spacing w:before="40" w:after="40" w:line="240" w:lineRule="auto"/>
              <w:rPr>
                <w:rFonts w:cs="Arial"/>
                <w:sz w:val="16"/>
                <w:szCs w:val="16"/>
              </w:rPr>
            </w:pPr>
            <w:r w:rsidRPr="00535408">
              <w:rPr>
                <w:rFonts w:cs="Arial"/>
                <w:sz w:val="16"/>
                <w:szCs w:val="16"/>
              </w:rPr>
              <w:t>High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3,151</w:t>
            </w:r>
          </w:p>
        </w:tc>
        <w:tc>
          <w:tcPr>
            <w:tcW w:w="827"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3,125</w:t>
            </w:r>
          </w:p>
        </w:tc>
        <w:tc>
          <w:tcPr>
            <w:tcW w:w="828" w:type="pct"/>
            <w:tcBorders>
              <w:top w:val="single" w:sz="4" w:space="0" w:color="0093D0"/>
              <w:left w:val="single" w:sz="4" w:space="0" w:color="0093D0"/>
              <w:bottom w:val="single" w:sz="4" w:space="0" w:color="0093D0"/>
              <w:right w:val="single" w:sz="4" w:space="0" w:color="0093D0"/>
            </w:tcBorders>
            <w:vAlign w:val="center"/>
          </w:tcPr>
          <w:p w:rsidR="00F324B4" w:rsidRPr="000362FF" w:rsidRDefault="00F324B4" w:rsidP="00F324B4">
            <w:pPr>
              <w:spacing w:before="40" w:after="40" w:line="240" w:lineRule="auto"/>
              <w:jc w:val="center"/>
              <w:rPr>
                <w:rFonts w:cs="Arial"/>
                <w:sz w:val="16"/>
                <w:szCs w:val="16"/>
              </w:rPr>
            </w:pPr>
            <w:r w:rsidRPr="00F324B4">
              <w:rPr>
                <w:rFonts w:cs="Arial"/>
                <w:sz w:val="16"/>
                <w:szCs w:val="16"/>
              </w:rPr>
              <w:t>3,200</w:t>
            </w:r>
          </w:p>
        </w:tc>
        <w:tc>
          <w:tcPr>
            <w:tcW w:w="826" w:type="pct"/>
            <w:tcBorders>
              <w:top w:val="single" w:sz="4" w:space="0" w:color="0093D0"/>
              <w:left w:val="single" w:sz="4" w:space="0" w:color="0093D0"/>
              <w:bottom w:val="single" w:sz="4" w:space="0" w:color="0093D0"/>
              <w:right w:val="single" w:sz="4" w:space="0" w:color="0093D0"/>
            </w:tcBorders>
            <w:vAlign w:val="center"/>
          </w:tcPr>
          <w:p w:rsidR="00F324B4" w:rsidRPr="0026552D" w:rsidRDefault="00F324B4" w:rsidP="00F324B4">
            <w:pPr>
              <w:spacing w:before="40" w:after="40" w:line="240" w:lineRule="auto"/>
              <w:jc w:val="center"/>
              <w:rPr>
                <w:rFonts w:cs="Arial"/>
                <w:sz w:val="16"/>
                <w:szCs w:val="16"/>
              </w:rPr>
            </w:pPr>
            <w:r>
              <w:rPr>
                <w:rFonts w:cs="Arial"/>
                <w:sz w:val="16"/>
                <w:szCs w:val="16"/>
              </w:rPr>
              <w:t>3,200 – 4,0</w:t>
            </w:r>
            <w:r w:rsidRPr="0026552D">
              <w:rPr>
                <w:rFonts w:cs="Arial"/>
                <w:sz w:val="16"/>
                <w:szCs w:val="16"/>
              </w:rPr>
              <w:t>00</w:t>
            </w:r>
          </w:p>
        </w:tc>
      </w:tr>
      <w:tr w:rsidR="004A668A" w:rsidRPr="00535408" w:rsidTr="00535408">
        <w:tc>
          <w:tcPr>
            <w:tcW w:w="869" w:type="pct"/>
            <w:tcBorders>
              <w:top w:val="single" w:sz="4" w:space="0" w:color="0093D0"/>
              <w:left w:val="nil"/>
              <w:bottom w:val="single" w:sz="4" w:space="0" w:color="0093D0"/>
              <w:right w:val="single" w:sz="4" w:space="0" w:color="0093D0"/>
            </w:tcBorders>
            <w:vAlign w:val="center"/>
          </w:tcPr>
          <w:p w:rsidR="00A64FB4" w:rsidRPr="00535408" w:rsidRDefault="00A64FB4" w:rsidP="00535408">
            <w:pPr>
              <w:spacing w:before="40" w:after="40" w:line="240" w:lineRule="auto"/>
              <w:rPr>
                <w:rFonts w:cs="Arial"/>
                <w:sz w:val="16"/>
                <w:szCs w:val="16"/>
              </w:rPr>
            </w:pPr>
            <w:r w:rsidRPr="00535408">
              <w:rPr>
                <w:rFonts w:cs="Arial"/>
                <w:sz w:val="16"/>
                <w:szCs w:val="16"/>
              </w:rPr>
              <w:t>Lower Darling</w:t>
            </w:r>
          </w:p>
        </w:tc>
        <w:tc>
          <w:tcPr>
            <w:tcW w:w="825"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A64FB4" w:rsidP="00535408">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903D3D" w:rsidP="00535408">
            <w:pPr>
              <w:spacing w:before="40" w:after="40" w:line="240" w:lineRule="auto"/>
              <w:jc w:val="center"/>
              <w:rPr>
                <w:rFonts w:cs="Arial"/>
                <w:sz w:val="16"/>
                <w:szCs w:val="16"/>
              </w:rPr>
            </w:pPr>
            <w:r>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594817" w:rsidP="00535408">
            <w:pPr>
              <w:spacing w:before="40" w:after="40" w:line="240" w:lineRule="auto"/>
              <w:jc w:val="center"/>
              <w:rPr>
                <w:rFonts w:cs="Arial"/>
                <w:sz w:val="16"/>
                <w:szCs w:val="16"/>
              </w:rPr>
            </w:pPr>
            <w:r>
              <w:rPr>
                <w:rFonts w:cs="Arial"/>
                <w:sz w:val="16"/>
                <w:szCs w:val="16"/>
              </w:rPr>
              <w:t>-</w:t>
            </w:r>
          </w:p>
        </w:tc>
        <w:tc>
          <w:tcPr>
            <w:tcW w:w="828"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594817" w:rsidP="00535408">
            <w:pPr>
              <w:spacing w:before="40" w:after="40" w:line="240" w:lineRule="auto"/>
              <w:jc w:val="center"/>
              <w:rPr>
                <w:rFonts w:cs="Arial"/>
                <w:sz w:val="16"/>
                <w:szCs w:val="16"/>
              </w:rPr>
            </w:pPr>
            <w:r>
              <w:rPr>
                <w:rFonts w:cs="Arial"/>
                <w:sz w:val="16"/>
                <w:szCs w:val="16"/>
              </w:rPr>
              <w:t>-</w:t>
            </w:r>
          </w:p>
        </w:tc>
        <w:tc>
          <w:tcPr>
            <w:tcW w:w="826" w:type="pct"/>
            <w:tcBorders>
              <w:top w:val="single" w:sz="4" w:space="0" w:color="0093D0"/>
              <w:left w:val="single" w:sz="4" w:space="0" w:color="0093D0"/>
              <w:bottom w:val="single" w:sz="4" w:space="0" w:color="0093D0"/>
              <w:right w:val="single" w:sz="4" w:space="0" w:color="0093D0"/>
            </w:tcBorders>
            <w:vAlign w:val="center"/>
          </w:tcPr>
          <w:p w:rsidR="00A64FB4" w:rsidRPr="0026552D" w:rsidRDefault="00A64FB4" w:rsidP="00535408">
            <w:pPr>
              <w:spacing w:before="40" w:after="40" w:line="240" w:lineRule="auto"/>
              <w:jc w:val="center"/>
              <w:rPr>
                <w:rFonts w:cs="Arial"/>
                <w:sz w:val="16"/>
                <w:szCs w:val="16"/>
              </w:rPr>
            </w:pPr>
            <w:r w:rsidRPr="0026552D">
              <w:rPr>
                <w:rFonts w:cs="Arial"/>
                <w:sz w:val="16"/>
                <w:szCs w:val="16"/>
              </w:rPr>
              <w:t>No listings</w:t>
            </w:r>
          </w:p>
        </w:tc>
      </w:tr>
      <w:tr w:rsidR="004A668A" w:rsidRPr="00535408" w:rsidTr="00535408">
        <w:tc>
          <w:tcPr>
            <w:tcW w:w="869" w:type="pct"/>
            <w:tcBorders>
              <w:top w:val="single" w:sz="4" w:space="0" w:color="0093D0"/>
              <w:left w:val="nil"/>
              <w:bottom w:val="single" w:sz="4" w:space="0" w:color="0093D0"/>
              <w:right w:val="single" w:sz="4" w:space="0" w:color="0093D0"/>
            </w:tcBorders>
            <w:vAlign w:val="center"/>
          </w:tcPr>
          <w:p w:rsidR="00A64FB4" w:rsidRPr="00535408" w:rsidRDefault="00A64FB4" w:rsidP="00535408">
            <w:pPr>
              <w:spacing w:before="40" w:after="40" w:line="240" w:lineRule="auto"/>
              <w:rPr>
                <w:rFonts w:cs="Arial"/>
                <w:sz w:val="16"/>
                <w:szCs w:val="16"/>
              </w:rPr>
            </w:pPr>
            <w:r w:rsidRPr="00535408">
              <w:rPr>
                <w:rFonts w:cs="Arial"/>
                <w:sz w:val="16"/>
                <w:szCs w:val="16"/>
              </w:rPr>
              <w:t>Lower Darling</w:t>
            </w:r>
          </w:p>
        </w:tc>
        <w:tc>
          <w:tcPr>
            <w:tcW w:w="825"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A64FB4" w:rsidP="00535408">
            <w:pPr>
              <w:spacing w:before="40" w:after="40" w:line="240" w:lineRule="auto"/>
              <w:rPr>
                <w:rFonts w:cs="Arial"/>
                <w:sz w:val="16"/>
                <w:szCs w:val="16"/>
              </w:rPr>
            </w:pPr>
            <w:r w:rsidRPr="00535408">
              <w:rPr>
                <w:rFonts w:cs="Arial"/>
                <w:sz w:val="16"/>
                <w:szCs w:val="16"/>
              </w:rPr>
              <w:t>High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903D3D" w:rsidP="00535408">
            <w:pPr>
              <w:spacing w:before="40" w:after="40" w:line="240" w:lineRule="auto"/>
              <w:jc w:val="center"/>
              <w:rPr>
                <w:rFonts w:cs="Arial"/>
                <w:sz w:val="16"/>
                <w:szCs w:val="16"/>
              </w:rPr>
            </w:pPr>
            <w:r>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594817" w:rsidP="00535408">
            <w:pPr>
              <w:spacing w:before="40" w:after="40" w:line="240" w:lineRule="auto"/>
              <w:jc w:val="center"/>
              <w:rPr>
                <w:rFonts w:cs="Arial"/>
                <w:sz w:val="16"/>
                <w:szCs w:val="16"/>
              </w:rPr>
            </w:pPr>
            <w:r>
              <w:rPr>
                <w:rFonts w:cs="Arial"/>
                <w:sz w:val="16"/>
                <w:szCs w:val="16"/>
              </w:rPr>
              <w:t>-</w:t>
            </w:r>
          </w:p>
        </w:tc>
        <w:tc>
          <w:tcPr>
            <w:tcW w:w="828"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594817" w:rsidP="00535408">
            <w:pPr>
              <w:spacing w:before="40" w:after="40" w:line="240" w:lineRule="auto"/>
              <w:jc w:val="center"/>
              <w:rPr>
                <w:rFonts w:cs="Arial"/>
                <w:sz w:val="16"/>
                <w:szCs w:val="16"/>
              </w:rPr>
            </w:pPr>
            <w:r>
              <w:rPr>
                <w:rFonts w:cs="Arial"/>
                <w:sz w:val="16"/>
                <w:szCs w:val="16"/>
              </w:rPr>
              <w:t>-</w:t>
            </w:r>
          </w:p>
        </w:tc>
        <w:tc>
          <w:tcPr>
            <w:tcW w:w="826" w:type="pct"/>
            <w:tcBorders>
              <w:top w:val="single" w:sz="4" w:space="0" w:color="0093D0"/>
              <w:left w:val="single" w:sz="4" w:space="0" w:color="0093D0"/>
              <w:bottom w:val="single" w:sz="4" w:space="0" w:color="0093D0"/>
              <w:right w:val="single" w:sz="4" w:space="0" w:color="0093D0"/>
            </w:tcBorders>
            <w:vAlign w:val="center"/>
          </w:tcPr>
          <w:p w:rsidR="00A64FB4" w:rsidRPr="0026552D" w:rsidRDefault="00A64FB4" w:rsidP="00535408">
            <w:pPr>
              <w:spacing w:before="40" w:after="40" w:line="240" w:lineRule="auto"/>
              <w:jc w:val="center"/>
              <w:rPr>
                <w:rFonts w:cs="Arial"/>
                <w:sz w:val="16"/>
                <w:szCs w:val="16"/>
              </w:rPr>
            </w:pPr>
            <w:r w:rsidRPr="0026552D">
              <w:rPr>
                <w:rFonts w:cs="Arial"/>
                <w:sz w:val="16"/>
                <w:szCs w:val="16"/>
              </w:rPr>
              <w:t>No listings</w:t>
            </w:r>
          </w:p>
        </w:tc>
      </w:tr>
    </w:tbl>
    <w:p w:rsidR="003C74A1"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5"/>
        <w:gridCol w:w="927"/>
        <w:gridCol w:w="1606"/>
        <w:gridCol w:w="1971"/>
        <w:gridCol w:w="562"/>
        <w:gridCol w:w="2539"/>
        <w:gridCol w:w="476"/>
        <w:gridCol w:w="2066"/>
        <w:gridCol w:w="2530"/>
      </w:tblGrid>
      <w:tr w:rsidR="004A668A" w:rsidRPr="00535408" w:rsidTr="00535408">
        <w:tc>
          <w:tcPr>
            <w:tcW w:w="871" w:type="pct"/>
            <w:vMerge w:val="restart"/>
            <w:tcBorders>
              <w:top w:val="nil"/>
              <w:left w:val="nil"/>
              <w:right w:val="nil"/>
            </w:tcBorders>
            <w:shd w:val="clear" w:color="auto" w:fill="0093D0"/>
            <w:vAlign w:val="center"/>
          </w:tcPr>
          <w:p w:rsidR="00E35A35" w:rsidRPr="00535408" w:rsidRDefault="00E35A35" w:rsidP="00535408">
            <w:pPr>
              <w:pStyle w:val="MJAnormal"/>
              <w:keepNext/>
              <w:jc w:val="center"/>
              <w:rPr>
                <w:rFonts w:ascii="Calibri" w:hAnsi="Calibri"/>
                <w:b/>
                <w:color w:val="FFFFFF"/>
                <w:sz w:val="20"/>
                <w:szCs w:val="16"/>
              </w:rPr>
            </w:pPr>
            <w:r w:rsidRPr="00535408">
              <w:rPr>
                <w:rFonts w:ascii="Calibri" w:hAnsi="Calibri"/>
                <w:b/>
                <w:color w:val="FFFFFF"/>
                <w:sz w:val="20"/>
                <w:szCs w:val="16"/>
              </w:rPr>
              <w:t>Region</w:t>
            </w:r>
          </w:p>
        </w:tc>
        <w:tc>
          <w:tcPr>
            <w:tcW w:w="825" w:type="pct"/>
            <w:gridSpan w:val="2"/>
            <w:vMerge w:val="restart"/>
            <w:tcBorders>
              <w:top w:val="nil"/>
              <w:left w:val="nil"/>
              <w:right w:val="nil"/>
            </w:tcBorders>
            <w:shd w:val="clear" w:color="auto" w:fill="0093D0"/>
            <w:vAlign w:val="center"/>
          </w:tcPr>
          <w:p w:rsidR="00E35A35" w:rsidRPr="00535408" w:rsidRDefault="00E35A35" w:rsidP="00535408">
            <w:pPr>
              <w:pStyle w:val="MJAnormal"/>
              <w:keepNext/>
              <w:jc w:val="center"/>
              <w:rPr>
                <w:rFonts w:ascii="Calibri" w:hAnsi="Calibri"/>
                <w:b/>
                <w:color w:val="FFFFFF"/>
                <w:sz w:val="20"/>
                <w:szCs w:val="16"/>
              </w:rPr>
            </w:pPr>
            <w:r w:rsidRPr="00535408">
              <w:rPr>
                <w:rFonts w:ascii="Calibri" w:hAnsi="Calibri"/>
                <w:b/>
                <w:color w:val="FFFFFF"/>
                <w:sz w:val="20"/>
                <w:szCs w:val="16"/>
              </w:rPr>
              <w:t>Entitlement Type</w:t>
            </w:r>
          </w:p>
        </w:tc>
        <w:tc>
          <w:tcPr>
            <w:tcW w:w="825" w:type="pct"/>
            <w:gridSpan w:val="2"/>
            <w:vMerge w:val="restart"/>
            <w:tcBorders>
              <w:top w:val="nil"/>
              <w:left w:val="nil"/>
              <w:right w:val="nil"/>
            </w:tcBorders>
            <w:shd w:val="clear" w:color="auto" w:fill="0093D0"/>
            <w:vAlign w:val="center"/>
          </w:tcPr>
          <w:p w:rsidR="00E35A35" w:rsidRPr="00535408" w:rsidRDefault="00AA4F2E" w:rsidP="00535408">
            <w:pPr>
              <w:pStyle w:val="MJAnormal"/>
              <w:keepNext/>
              <w:jc w:val="center"/>
              <w:rPr>
                <w:rFonts w:ascii="Calibri" w:hAnsi="Calibri"/>
                <w:b/>
                <w:color w:val="FFFFFF"/>
                <w:sz w:val="20"/>
                <w:szCs w:val="16"/>
              </w:rPr>
            </w:pPr>
            <w:r>
              <w:rPr>
                <w:rFonts w:ascii="Calibri" w:hAnsi="Calibri"/>
                <w:b/>
                <w:color w:val="FFFFFF"/>
                <w:sz w:val="20"/>
                <w:szCs w:val="16"/>
              </w:rPr>
              <w:t>December</w:t>
            </w:r>
            <w:r w:rsidRPr="00535408">
              <w:rPr>
                <w:rFonts w:ascii="Calibri" w:hAnsi="Calibri"/>
                <w:b/>
                <w:color w:val="FFFFFF"/>
                <w:sz w:val="20"/>
                <w:szCs w:val="16"/>
              </w:rPr>
              <w:t xml:space="preserve"> </w:t>
            </w:r>
            <w:r w:rsidR="00E35A35" w:rsidRPr="00535408">
              <w:rPr>
                <w:rFonts w:ascii="Calibri" w:hAnsi="Calibri"/>
                <w:b/>
                <w:color w:val="FFFFFF"/>
                <w:sz w:val="20"/>
                <w:szCs w:val="16"/>
              </w:rPr>
              <w:t>2015 - Quarter VWAP</w:t>
            </w:r>
            <w:r w:rsidR="004F34AC" w:rsidRPr="00535408">
              <w:rPr>
                <w:rStyle w:val="FootnoteReference"/>
                <w:rFonts w:ascii="Calibri" w:hAnsi="Calibri"/>
                <w:b/>
                <w:color w:val="FFFFFF"/>
                <w:sz w:val="20"/>
                <w:szCs w:val="16"/>
              </w:rPr>
              <w:footnoteReference w:id="3"/>
            </w:r>
            <w:r w:rsidR="00E35A35" w:rsidRPr="00535408">
              <w:rPr>
                <w:rFonts w:ascii="Calibri" w:hAnsi="Calibri"/>
                <w:b/>
                <w:color w:val="FFFFFF"/>
                <w:sz w:val="20"/>
                <w:szCs w:val="16"/>
              </w:rPr>
              <w:t xml:space="preserve"> ($/ML)</w:t>
            </w:r>
          </w:p>
        </w:tc>
        <w:tc>
          <w:tcPr>
            <w:tcW w:w="1655" w:type="pct"/>
            <w:gridSpan w:val="3"/>
            <w:tcBorders>
              <w:top w:val="nil"/>
              <w:left w:val="nil"/>
              <w:bottom w:val="nil"/>
              <w:right w:val="nil"/>
            </w:tcBorders>
            <w:shd w:val="clear" w:color="auto" w:fill="0093D0"/>
            <w:vAlign w:val="center"/>
          </w:tcPr>
          <w:p w:rsidR="00E35A35" w:rsidRPr="00535408" w:rsidRDefault="00AA4F2E" w:rsidP="00784111">
            <w:pPr>
              <w:pStyle w:val="MJAnormal"/>
              <w:keepNext/>
              <w:jc w:val="center"/>
              <w:rPr>
                <w:rFonts w:ascii="Calibri" w:hAnsi="Calibri"/>
                <w:b/>
                <w:color w:val="FFFFFF"/>
                <w:sz w:val="20"/>
                <w:szCs w:val="16"/>
              </w:rPr>
            </w:pPr>
            <w:r>
              <w:rPr>
                <w:rFonts w:ascii="Calibri" w:hAnsi="Calibri"/>
                <w:b/>
                <w:color w:val="FFFFFF"/>
                <w:sz w:val="20"/>
                <w:szCs w:val="16"/>
              </w:rPr>
              <w:t>December</w:t>
            </w:r>
            <w:r w:rsidR="00E35A35" w:rsidRPr="00535408">
              <w:rPr>
                <w:rFonts w:ascii="Calibri" w:hAnsi="Calibri"/>
                <w:b/>
                <w:color w:val="FFFFFF"/>
                <w:sz w:val="20"/>
                <w:szCs w:val="16"/>
              </w:rPr>
              <w:t xml:space="preserve"> 2015 - Quarter</w:t>
            </w:r>
          </w:p>
        </w:tc>
        <w:tc>
          <w:tcPr>
            <w:tcW w:w="824" w:type="pct"/>
            <w:vMerge w:val="restart"/>
            <w:tcBorders>
              <w:top w:val="nil"/>
              <w:left w:val="nil"/>
              <w:right w:val="nil"/>
            </w:tcBorders>
            <w:shd w:val="clear" w:color="auto" w:fill="0093D0"/>
            <w:vAlign w:val="center"/>
          </w:tcPr>
          <w:p w:rsidR="00E35A35" w:rsidRPr="00535408" w:rsidRDefault="00E35A35" w:rsidP="00535408">
            <w:pPr>
              <w:pStyle w:val="MJAnormal"/>
              <w:keepNext/>
              <w:jc w:val="center"/>
              <w:rPr>
                <w:rFonts w:ascii="Calibri" w:hAnsi="Calibri"/>
                <w:b/>
                <w:color w:val="FFFFFF"/>
                <w:sz w:val="20"/>
                <w:szCs w:val="16"/>
              </w:rPr>
            </w:pPr>
            <w:r w:rsidRPr="00535408">
              <w:rPr>
                <w:rFonts w:ascii="Calibri" w:hAnsi="Calibri"/>
                <w:b/>
                <w:color w:val="FFFFFF"/>
                <w:sz w:val="20"/>
                <w:szCs w:val="16"/>
              </w:rPr>
              <w:t xml:space="preserve">Water </w:t>
            </w:r>
            <w:r w:rsidR="00CD5DAF" w:rsidRPr="00535408">
              <w:rPr>
                <w:rFonts w:ascii="Calibri" w:hAnsi="Calibri"/>
                <w:b/>
                <w:color w:val="FFFFFF"/>
                <w:sz w:val="20"/>
                <w:szCs w:val="16"/>
              </w:rPr>
              <w:t>Intermediary</w:t>
            </w:r>
            <w:r w:rsidRPr="00535408">
              <w:rPr>
                <w:rFonts w:ascii="Calibri" w:hAnsi="Calibri"/>
                <w:b/>
                <w:color w:val="FFFFFF"/>
                <w:sz w:val="20"/>
                <w:szCs w:val="16"/>
              </w:rPr>
              <w:t xml:space="preserve"> Prices</w:t>
            </w:r>
            <w:r w:rsidR="004F34AC" w:rsidRPr="00535408">
              <w:rPr>
                <w:rStyle w:val="FootnoteReference"/>
                <w:rFonts w:ascii="Calibri" w:hAnsi="Calibri"/>
                <w:b/>
                <w:color w:val="FFFFFF"/>
                <w:sz w:val="20"/>
                <w:szCs w:val="16"/>
              </w:rPr>
              <w:footnoteReference w:id="4"/>
            </w:r>
            <w:r w:rsidRPr="00535408">
              <w:rPr>
                <w:rFonts w:ascii="Calibri" w:hAnsi="Calibri"/>
                <w:b/>
                <w:color w:val="FFFFFF"/>
                <w:sz w:val="20"/>
                <w:szCs w:val="16"/>
              </w:rPr>
              <w:t xml:space="preserve"> ($/ML)</w:t>
            </w:r>
          </w:p>
        </w:tc>
      </w:tr>
      <w:tr w:rsidR="004A668A" w:rsidRPr="00535408" w:rsidTr="00535408">
        <w:trPr>
          <w:trHeight w:val="178"/>
        </w:trPr>
        <w:tc>
          <w:tcPr>
            <w:tcW w:w="871" w:type="pct"/>
            <w:vMerge/>
            <w:tcBorders>
              <w:left w:val="nil"/>
              <w:bottom w:val="nil"/>
              <w:right w:val="nil"/>
            </w:tcBorders>
            <w:shd w:val="clear" w:color="auto" w:fill="0093D0"/>
          </w:tcPr>
          <w:p w:rsidR="00E35A35" w:rsidRPr="00535408" w:rsidRDefault="00E35A35" w:rsidP="00E677EC">
            <w:pPr>
              <w:pStyle w:val="MJAnormal"/>
              <w:rPr>
                <w:rFonts w:ascii="Calibri" w:hAnsi="Calibri"/>
                <w:b/>
                <w:color w:val="FFFFFF"/>
                <w:sz w:val="20"/>
                <w:szCs w:val="16"/>
              </w:rPr>
            </w:pPr>
          </w:p>
        </w:tc>
        <w:tc>
          <w:tcPr>
            <w:tcW w:w="825" w:type="pct"/>
            <w:gridSpan w:val="2"/>
            <w:vMerge/>
            <w:tcBorders>
              <w:left w:val="nil"/>
              <w:bottom w:val="nil"/>
              <w:right w:val="nil"/>
            </w:tcBorders>
            <w:shd w:val="clear" w:color="auto" w:fill="0093D0"/>
          </w:tcPr>
          <w:p w:rsidR="00E35A35" w:rsidRPr="00535408" w:rsidRDefault="00E35A35" w:rsidP="00E677EC">
            <w:pPr>
              <w:pStyle w:val="MJAnormal"/>
              <w:rPr>
                <w:rFonts w:ascii="Calibri" w:hAnsi="Calibri"/>
                <w:b/>
                <w:color w:val="FFFFFF"/>
                <w:sz w:val="20"/>
                <w:szCs w:val="16"/>
              </w:rPr>
            </w:pPr>
          </w:p>
        </w:tc>
        <w:tc>
          <w:tcPr>
            <w:tcW w:w="825" w:type="pct"/>
            <w:gridSpan w:val="2"/>
            <w:vMerge/>
            <w:tcBorders>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25th percentile</w:t>
            </w:r>
          </w:p>
        </w:tc>
        <w:tc>
          <w:tcPr>
            <w:tcW w:w="828" w:type="pct"/>
            <w:gridSpan w:val="2"/>
            <w:tcBorders>
              <w:top w:val="nil"/>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75th percentile</w:t>
            </w:r>
          </w:p>
        </w:tc>
        <w:tc>
          <w:tcPr>
            <w:tcW w:w="824" w:type="pct"/>
            <w:vMerge/>
            <w:tcBorders>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p>
        </w:tc>
      </w:tr>
      <w:tr w:rsidR="004A668A" w:rsidRPr="00535408" w:rsidTr="00855F9B">
        <w:tc>
          <w:tcPr>
            <w:tcW w:w="1173" w:type="pct"/>
            <w:gridSpan w:val="2"/>
            <w:tcBorders>
              <w:top w:val="nil"/>
              <w:left w:val="nil"/>
              <w:bottom w:val="single" w:sz="4" w:space="0" w:color="0093D0"/>
              <w:right w:val="nil"/>
            </w:tcBorders>
            <w:shd w:val="clear" w:color="auto" w:fill="D9D9D9"/>
            <w:vAlign w:val="center"/>
          </w:tcPr>
          <w:p w:rsidR="00A64FB4" w:rsidRPr="00535408" w:rsidRDefault="00A64FB4" w:rsidP="00535408">
            <w:pPr>
              <w:pStyle w:val="MJAnormal"/>
              <w:spacing w:before="40" w:after="40" w:line="240" w:lineRule="auto"/>
              <w:rPr>
                <w:rFonts w:ascii="Calibri" w:hAnsi="Calibri" w:cs="Arial"/>
                <w:b/>
                <w:sz w:val="16"/>
                <w:szCs w:val="16"/>
              </w:rPr>
            </w:pPr>
            <w:r w:rsidRPr="00535408">
              <w:rPr>
                <w:rFonts w:ascii="Calibri" w:hAnsi="Calibri" w:cs="Arial"/>
                <w:b/>
                <w:sz w:val="16"/>
                <w:szCs w:val="16"/>
              </w:rPr>
              <w:t>Northern Murray-Darling Basin</w:t>
            </w:r>
          </w:p>
        </w:tc>
        <w:tc>
          <w:tcPr>
            <w:tcW w:w="1165" w:type="pct"/>
            <w:gridSpan w:val="2"/>
            <w:tcBorders>
              <w:top w:val="nil"/>
              <w:left w:val="nil"/>
              <w:bottom w:val="single" w:sz="4" w:space="0" w:color="0093D0"/>
              <w:right w:val="nil"/>
            </w:tcBorders>
            <w:shd w:val="clear" w:color="auto" w:fill="D9D9D9"/>
            <w:vAlign w:val="center"/>
          </w:tcPr>
          <w:p w:rsidR="00A64FB4" w:rsidRPr="00535408" w:rsidRDefault="00A64FB4" w:rsidP="00535408">
            <w:pPr>
              <w:pStyle w:val="MJAnormal"/>
              <w:spacing w:before="40" w:after="40" w:line="240" w:lineRule="auto"/>
              <w:rPr>
                <w:rFonts w:ascii="Calibri" w:hAnsi="Calibri" w:cs="Arial"/>
                <w:b/>
                <w:sz w:val="16"/>
                <w:szCs w:val="16"/>
              </w:rPr>
            </w:pPr>
          </w:p>
        </w:tc>
        <w:tc>
          <w:tcPr>
            <w:tcW w:w="1165" w:type="pct"/>
            <w:gridSpan w:val="3"/>
            <w:tcBorders>
              <w:top w:val="nil"/>
              <w:left w:val="nil"/>
              <w:bottom w:val="single" w:sz="4" w:space="0" w:color="0093D0"/>
              <w:right w:val="nil"/>
            </w:tcBorders>
            <w:shd w:val="clear" w:color="auto" w:fill="D9D9D9"/>
            <w:vAlign w:val="center"/>
          </w:tcPr>
          <w:p w:rsidR="00A64FB4" w:rsidRPr="00535408" w:rsidRDefault="00A64FB4" w:rsidP="00535408">
            <w:pPr>
              <w:pStyle w:val="MJAnormal"/>
              <w:spacing w:before="40" w:after="40" w:line="240" w:lineRule="auto"/>
              <w:rPr>
                <w:rFonts w:ascii="Calibri" w:hAnsi="Calibri" w:cs="Arial"/>
                <w:b/>
                <w:sz w:val="16"/>
                <w:szCs w:val="16"/>
              </w:rPr>
            </w:pPr>
          </w:p>
        </w:tc>
        <w:tc>
          <w:tcPr>
            <w:tcW w:w="1498" w:type="pct"/>
            <w:gridSpan w:val="2"/>
            <w:tcBorders>
              <w:top w:val="nil"/>
              <w:left w:val="nil"/>
              <w:bottom w:val="single" w:sz="4" w:space="0" w:color="0093D0"/>
              <w:right w:val="nil"/>
            </w:tcBorders>
            <w:shd w:val="clear" w:color="auto" w:fill="D9D9D9"/>
            <w:vAlign w:val="center"/>
          </w:tcPr>
          <w:p w:rsidR="00A64FB4" w:rsidRPr="00535408" w:rsidRDefault="00A64FB4" w:rsidP="00535408">
            <w:pPr>
              <w:pStyle w:val="MJAnormal"/>
              <w:spacing w:before="40" w:after="40" w:line="240" w:lineRule="auto"/>
              <w:rPr>
                <w:rFonts w:ascii="Calibri" w:hAnsi="Calibri" w:cs="Arial"/>
                <w:b/>
                <w:sz w:val="16"/>
                <w:szCs w:val="16"/>
              </w:rPr>
            </w:pPr>
          </w:p>
        </w:tc>
      </w:tr>
      <w:tr w:rsidR="00F64904" w:rsidRPr="00535408" w:rsidTr="00A35066">
        <w:tc>
          <w:tcPr>
            <w:tcW w:w="871" w:type="pct"/>
            <w:tcBorders>
              <w:top w:val="single" w:sz="4" w:space="0" w:color="0093D0"/>
              <w:left w:val="nil"/>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Macquarie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tcPr>
          <w:p w:rsidR="00F64904" w:rsidRPr="00067324" w:rsidRDefault="00A13DA4" w:rsidP="00F64904">
            <w:pPr>
              <w:spacing w:before="40" w:after="40" w:line="240" w:lineRule="auto"/>
              <w:jc w:val="center"/>
              <w:rPr>
                <w:rFonts w:cs="Arial"/>
                <w:sz w:val="16"/>
                <w:szCs w:val="16"/>
              </w:rPr>
            </w:pPr>
            <w:r>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F64904" w:rsidRPr="00067324" w:rsidRDefault="00A13DA4" w:rsidP="00A13DA4">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F64904" w:rsidRPr="00067324" w:rsidRDefault="00A13DA4" w:rsidP="00A13DA4">
            <w:pPr>
              <w:spacing w:before="40" w:after="40"/>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vAlign w:val="center"/>
          </w:tcPr>
          <w:p w:rsidR="00F64904" w:rsidRPr="0026552D" w:rsidRDefault="00F64904" w:rsidP="00F64904">
            <w:pPr>
              <w:spacing w:before="40" w:after="40" w:line="240" w:lineRule="auto"/>
              <w:jc w:val="center"/>
              <w:rPr>
                <w:rFonts w:cs="Arial"/>
                <w:sz w:val="16"/>
                <w:szCs w:val="16"/>
              </w:rPr>
            </w:pPr>
            <w:r>
              <w:rPr>
                <w:rFonts w:cs="Arial"/>
                <w:sz w:val="16"/>
                <w:szCs w:val="16"/>
              </w:rPr>
              <w:t>1,000 – 1,100</w:t>
            </w:r>
          </w:p>
        </w:tc>
      </w:tr>
      <w:tr w:rsidR="00F64904" w:rsidRPr="00535408" w:rsidTr="00A35066">
        <w:tc>
          <w:tcPr>
            <w:tcW w:w="871" w:type="pct"/>
            <w:tcBorders>
              <w:top w:val="single" w:sz="4" w:space="0" w:color="0093D0"/>
              <w:left w:val="nil"/>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Namoi</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tcPr>
          <w:p w:rsidR="00F64904" w:rsidRPr="00067324" w:rsidRDefault="00F64904" w:rsidP="00F64904">
            <w:pPr>
              <w:spacing w:before="40" w:after="40" w:line="240" w:lineRule="auto"/>
              <w:jc w:val="center"/>
              <w:rPr>
                <w:rFonts w:cs="Arial"/>
                <w:sz w:val="16"/>
                <w:szCs w:val="16"/>
              </w:rPr>
            </w:pPr>
            <w:r w:rsidRPr="00F64904">
              <w:rPr>
                <w:rFonts w:cs="Arial"/>
                <w:sz w:val="16"/>
                <w:szCs w:val="16"/>
              </w:rPr>
              <w:t>1,950</w:t>
            </w:r>
          </w:p>
        </w:tc>
        <w:tc>
          <w:tcPr>
            <w:tcW w:w="827" w:type="pct"/>
            <w:tcBorders>
              <w:top w:val="single" w:sz="4" w:space="0" w:color="0093D0"/>
              <w:left w:val="single" w:sz="4" w:space="0" w:color="0093D0"/>
              <w:bottom w:val="single" w:sz="4" w:space="0" w:color="0093D0"/>
              <w:right w:val="single" w:sz="4" w:space="0" w:color="0093D0"/>
            </w:tcBorders>
            <w:vAlign w:val="center"/>
          </w:tcPr>
          <w:p w:rsidR="00F64904" w:rsidRPr="00067324" w:rsidRDefault="00A13DA4" w:rsidP="00F64904">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F64904" w:rsidRPr="00067324" w:rsidRDefault="00A13DA4" w:rsidP="00F64904">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vAlign w:val="center"/>
          </w:tcPr>
          <w:p w:rsidR="00F64904" w:rsidRPr="0026552D" w:rsidRDefault="00F64904" w:rsidP="00F64904">
            <w:pPr>
              <w:spacing w:before="40" w:after="40" w:line="240" w:lineRule="auto"/>
              <w:jc w:val="center"/>
              <w:rPr>
                <w:rFonts w:cs="Arial"/>
                <w:sz w:val="16"/>
                <w:szCs w:val="16"/>
              </w:rPr>
            </w:pPr>
            <w:r w:rsidRPr="0026552D">
              <w:rPr>
                <w:rFonts w:cs="Arial"/>
                <w:sz w:val="16"/>
                <w:szCs w:val="16"/>
              </w:rPr>
              <w:t>No listings</w:t>
            </w:r>
          </w:p>
        </w:tc>
      </w:tr>
      <w:tr w:rsidR="00F64904" w:rsidRPr="00535408" w:rsidTr="00A35066">
        <w:tc>
          <w:tcPr>
            <w:tcW w:w="871" w:type="pct"/>
            <w:tcBorders>
              <w:top w:val="single" w:sz="4" w:space="0" w:color="0093D0"/>
              <w:left w:val="nil"/>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Gwydir</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tcPr>
          <w:p w:rsidR="00F64904" w:rsidRPr="00067324" w:rsidRDefault="00F64904" w:rsidP="00F64904">
            <w:pPr>
              <w:spacing w:before="40" w:after="40" w:line="240" w:lineRule="auto"/>
              <w:jc w:val="center"/>
              <w:rPr>
                <w:rFonts w:cs="Arial"/>
                <w:sz w:val="16"/>
                <w:szCs w:val="16"/>
              </w:rPr>
            </w:pPr>
            <w:r w:rsidRPr="00F64904">
              <w:rPr>
                <w:rFonts w:cs="Arial"/>
                <w:sz w:val="16"/>
                <w:szCs w:val="16"/>
              </w:rPr>
              <w:t>2,211</w:t>
            </w:r>
          </w:p>
        </w:tc>
        <w:tc>
          <w:tcPr>
            <w:tcW w:w="827" w:type="pct"/>
            <w:tcBorders>
              <w:top w:val="single" w:sz="4" w:space="0" w:color="0093D0"/>
              <w:left w:val="single" w:sz="4" w:space="0" w:color="0093D0"/>
              <w:bottom w:val="single" w:sz="4" w:space="0" w:color="0093D0"/>
              <w:right w:val="single" w:sz="4" w:space="0" w:color="0093D0"/>
            </w:tcBorders>
            <w:vAlign w:val="center"/>
          </w:tcPr>
          <w:p w:rsidR="00F64904" w:rsidRPr="00067324" w:rsidRDefault="00F64904" w:rsidP="00F64904">
            <w:pPr>
              <w:spacing w:before="40" w:after="40" w:line="240" w:lineRule="auto"/>
              <w:jc w:val="center"/>
              <w:rPr>
                <w:rFonts w:cs="Arial"/>
                <w:sz w:val="16"/>
                <w:szCs w:val="16"/>
              </w:rPr>
            </w:pPr>
            <w:r w:rsidRPr="00F64904">
              <w:rPr>
                <w:rFonts w:cs="Arial"/>
                <w:sz w:val="16"/>
                <w:szCs w:val="16"/>
              </w:rPr>
              <w:t>2,206</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F64904" w:rsidRPr="00067324" w:rsidRDefault="00F64904" w:rsidP="00F64904">
            <w:pPr>
              <w:spacing w:before="40" w:after="40" w:line="240" w:lineRule="auto"/>
              <w:jc w:val="center"/>
              <w:rPr>
                <w:rFonts w:cs="Arial"/>
                <w:sz w:val="16"/>
                <w:szCs w:val="16"/>
              </w:rPr>
            </w:pPr>
            <w:r w:rsidRPr="00F64904">
              <w:rPr>
                <w:rFonts w:cs="Arial"/>
                <w:sz w:val="16"/>
                <w:szCs w:val="16"/>
              </w:rPr>
              <w:t>2,212</w:t>
            </w:r>
          </w:p>
        </w:tc>
        <w:tc>
          <w:tcPr>
            <w:tcW w:w="824" w:type="pct"/>
            <w:tcBorders>
              <w:top w:val="single" w:sz="4" w:space="0" w:color="0093D0"/>
              <w:left w:val="single" w:sz="4" w:space="0" w:color="0093D0"/>
              <w:bottom w:val="single" w:sz="4" w:space="0" w:color="0093D0"/>
              <w:right w:val="single" w:sz="4" w:space="0" w:color="0093D0"/>
            </w:tcBorders>
            <w:vAlign w:val="center"/>
          </w:tcPr>
          <w:p w:rsidR="00F64904" w:rsidRPr="0026552D" w:rsidRDefault="00F64904" w:rsidP="00F64904">
            <w:pPr>
              <w:spacing w:before="40" w:after="40" w:line="240" w:lineRule="auto"/>
              <w:jc w:val="center"/>
              <w:rPr>
                <w:rFonts w:cs="Arial"/>
                <w:sz w:val="16"/>
                <w:szCs w:val="16"/>
              </w:rPr>
            </w:pPr>
            <w:r>
              <w:rPr>
                <w:rFonts w:cs="Arial"/>
                <w:sz w:val="16"/>
                <w:szCs w:val="16"/>
              </w:rPr>
              <w:t>2,100 – 2,200</w:t>
            </w:r>
          </w:p>
        </w:tc>
      </w:tr>
      <w:tr w:rsidR="00F64904" w:rsidRPr="00535408" w:rsidTr="00A35066">
        <w:tc>
          <w:tcPr>
            <w:tcW w:w="871" w:type="pct"/>
            <w:tcBorders>
              <w:top w:val="single" w:sz="4" w:space="0" w:color="0093D0"/>
              <w:left w:val="nil"/>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NSW Border Rivers</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tcPr>
          <w:p w:rsidR="00F64904" w:rsidRPr="00067324" w:rsidRDefault="00F64904" w:rsidP="00F64904">
            <w:pPr>
              <w:spacing w:before="40" w:after="40" w:line="240" w:lineRule="auto"/>
              <w:jc w:val="center"/>
              <w:rPr>
                <w:rFonts w:cs="Arial"/>
                <w:sz w:val="16"/>
                <w:szCs w:val="16"/>
              </w:rPr>
            </w:pPr>
            <w:r w:rsidRPr="00F64904">
              <w:rPr>
                <w:rFonts w:cs="Arial"/>
                <w:sz w:val="16"/>
                <w:szCs w:val="16"/>
              </w:rPr>
              <w:t>1,820</w:t>
            </w:r>
          </w:p>
        </w:tc>
        <w:tc>
          <w:tcPr>
            <w:tcW w:w="827" w:type="pct"/>
            <w:tcBorders>
              <w:top w:val="single" w:sz="4" w:space="0" w:color="0093D0"/>
              <w:left w:val="single" w:sz="4" w:space="0" w:color="0093D0"/>
              <w:bottom w:val="single" w:sz="4" w:space="0" w:color="0093D0"/>
              <w:right w:val="single" w:sz="4" w:space="0" w:color="0093D0"/>
            </w:tcBorders>
            <w:vAlign w:val="center"/>
          </w:tcPr>
          <w:p w:rsidR="00F64904" w:rsidRPr="00067324" w:rsidRDefault="00F64904" w:rsidP="00F64904">
            <w:pPr>
              <w:spacing w:before="40" w:after="40" w:line="240" w:lineRule="auto"/>
              <w:jc w:val="center"/>
              <w:rPr>
                <w:rFonts w:cs="Arial"/>
                <w:sz w:val="16"/>
                <w:szCs w:val="16"/>
              </w:rPr>
            </w:pPr>
            <w:r w:rsidRPr="00F64904">
              <w:rPr>
                <w:rFonts w:cs="Arial"/>
                <w:sz w:val="16"/>
                <w:szCs w:val="16"/>
              </w:rPr>
              <w:t>2,000</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F64904" w:rsidRPr="00067324" w:rsidRDefault="00F64904" w:rsidP="00F64904">
            <w:pPr>
              <w:spacing w:before="40" w:after="40" w:line="240" w:lineRule="auto"/>
              <w:jc w:val="center"/>
              <w:rPr>
                <w:rFonts w:cs="Arial"/>
                <w:sz w:val="16"/>
                <w:szCs w:val="16"/>
              </w:rPr>
            </w:pPr>
            <w:r w:rsidRPr="00F64904">
              <w:rPr>
                <w:rFonts w:cs="Arial"/>
                <w:sz w:val="16"/>
                <w:szCs w:val="16"/>
              </w:rPr>
              <w:t>2,200</w:t>
            </w:r>
          </w:p>
        </w:tc>
        <w:tc>
          <w:tcPr>
            <w:tcW w:w="824" w:type="pct"/>
            <w:tcBorders>
              <w:top w:val="single" w:sz="4" w:space="0" w:color="0093D0"/>
              <w:left w:val="single" w:sz="4" w:space="0" w:color="0093D0"/>
              <w:bottom w:val="single" w:sz="4" w:space="0" w:color="0093D0"/>
              <w:right w:val="single" w:sz="4" w:space="0" w:color="0093D0"/>
            </w:tcBorders>
            <w:vAlign w:val="center"/>
          </w:tcPr>
          <w:p w:rsidR="00F64904" w:rsidRPr="0026552D" w:rsidRDefault="00F64904" w:rsidP="00F64904">
            <w:pPr>
              <w:spacing w:before="40" w:after="40" w:line="240" w:lineRule="auto"/>
              <w:jc w:val="center"/>
              <w:rPr>
                <w:rFonts w:cs="Arial"/>
                <w:sz w:val="16"/>
                <w:szCs w:val="16"/>
              </w:rPr>
            </w:pPr>
            <w:r>
              <w:rPr>
                <w:rFonts w:cs="Arial"/>
                <w:sz w:val="16"/>
                <w:szCs w:val="16"/>
              </w:rPr>
              <w:t>2,000 – 3,300</w:t>
            </w:r>
          </w:p>
        </w:tc>
      </w:tr>
      <w:tr w:rsidR="00F64904" w:rsidRPr="00535408" w:rsidTr="00A35066">
        <w:tc>
          <w:tcPr>
            <w:tcW w:w="871" w:type="pct"/>
            <w:tcBorders>
              <w:top w:val="single" w:sz="4" w:space="0" w:color="0093D0"/>
              <w:left w:val="nil"/>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 xml:space="preserve">Barwon Darling </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Unregulated</w:t>
            </w:r>
          </w:p>
        </w:tc>
        <w:tc>
          <w:tcPr>
            <w:tcW w:w="825" w:type="pct"/>
            <w:gridSpan w:val="2"/>
            <w:tcBorders>
              <w:top w:val="single" w:sz="4" w:space="0" w:color="0093D0"/>
              <w:left w:val="single" w:sz="4" w:space="0" w:color="0093D0"/>
              <w:bottom w:val="single" w:sz="4" w:space="0" w:color="0093D0"/>
              <w:right w:val="single" w:sz="4" w:space="0" w:color="0093D0"/>
            </w:tcBorders>
          </w:tcPr>
          <w:p w:rsidR="00F64904" w:rsidRPr="00067324" w:rsidRDefault="00F64904" w:rsidP="00F64904">
            <w:pPr>
              <w:spacing w:before="40" w:after="40" w:line="240" w:lineRule="auto"/>
              <w:jc w:val="center"/>
              <w:rPr>
                <w:rFonts w:cs="Arial"/>
                <w:sz w:val="16"/>
                <w:szCs w:val="16"/>
              </w:rPr>
            </w:pPr>
            <w:r w:rsidRPr="00F64904">
              <w:rPr>
                <w:rFonts w:cs="Arial"/>
                <w:sz w:val="16"/>
                <w:szCs w:val="16"/>
              </w:rPr>
              <w:t>955</w:t>
            </w:r>
          </w:p>
        </w:tc>
        <w:tc>
          <w:tcPr>
            <w:tcW w:w="827" w:type="pct"/>
            <w:tcBorders>
              <w:top w:val="single" w:sz="4" w:space="0" w:color="0093D0"/>
              <w:left w:val="single" w:sz="4" w:space="0" w:color="0093D0"/>
              <w:bottom w:val="single" w:sz="4" w:space="0" w:color="0093D0"/>
              <w:right w:val="single" w:sz="4" w:space="0" w:color="0093D0"/>
            </w:tcBorders>
            <w:vAlign w:val="center"/>
          </w:tcPr>
          <w:p w:rsidR="00F64904" w:rsidRPr="00067324" w:rsidRDefault="00F64904" w:rsidP="00F64904">
            <w:pPr>
              <w:spacing w:before="40" w:after="40" w:line="240" w:lineRule="auto"/>
              <w:jc w:val="center"/>
              <w:rPr>
                <w:rFonts w:cs="Arial"/>
                <w:sz w:val="16"/>
                <w:szCs w:val="16"/>
              </w:rPr>
            </w:pPr>
            <w:r w:rsidRPr="00F64904">
              <w:rPr>
                <w:rFonts w:cs="Arial"/>
                <w:sz w:val="16"/>
                <w:szCs w:val="16"/>
              </w:rPr>
              <w:t>950</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F64904" w:rsidRPr="00067324" w:rsidRDefault="00F64904" w:rsidP="00F64904">
            <w:pPr>
              <w:spacing w:before="40" w:after="40" w:line="240" w:lineRule="auto"/>
              <w:jc w:val="center"/>
              <w:rPr>
                <w:rFonts w:cs="Arial"/>
                <w:sz w:val="16"/>
                <w:szCs w:val="16"/>
              </w:rPr>
            </w:pPr>
            <w:r w:rsidRPr="00F64904">
              <w:rPr>
                <w:rFonts w:cs="Arial"/>
                <w:sz w:val="16"/>
                <w:szCs w:val="16"/>
              </w:rPr>
              <w:t>1,085</w:t>
            </w:r>
          </w:p>
        </w:tc>
        <w:tc>
          <w:tcPr>
            <w:tcW w:w="824" w:type="pct"/>
            <w:tcBorders>
              <w:top w:val="single" w:sz="4" w:space="0" w:color="0093D0"/>
              <w:left w:val="single" w:sz="4" w:space="0" w:color="0093D0"/>
              <w:bottom w:val="single" w:sz="4" w:space="0" w:color="0093D0"/>
              <w:right w:val="single" w:sz="4" w:space="0" w:color="0093D0"/>
            </w:tcBorders>
            <w:vAlign w:val="center"/>
          </w:tcPr>
          <w:p w:rsidR="00F64904" w:rsidRPr="0026552D" w:rsidRDefault="00A13DA4" w:rsidP="00F64904">
            <w:pPr>
              <w:spacing w:before="40" w:after="40" w:line="240" w:lineRule="auto"/>
              <w:jc w:val="center"/>
              <w:rPr>
                <w:rFonts w:cs="Arial"/>
                <w:sz w:val="16"/>
                <w:szCs w:val="16"/>
              </w:rPr>
            </w:pPr>
            <w:r>
              <w:rPr>
                <w:rFonts w:cs="Arial"/>
                <w:sz w:val="16"/>
                <w:szCs w:val="16"/>
              </w:rPr>
              <w:t>No listings</w:t>
            </w:r>
          </w:p>
        </w:tc>
      </w:tr>
      <w:tr w:rsidR="00F64904" w:rsidRPr="00535408" w:rsidTr="00A35066">
        <w:tc>
          <w:tcPr>
            <w:tcW w:w="871" w:type="pct"/>
            <w:tcBorders>
              <w:top w:val="single" w:sz="4" w:space="0" w:color="0093D0"/>
              <w:left w:val="nil"/>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Lachlan</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F64904" w:rsidRPr="00535408" w:rsidRDefault="00F64904" w:rsidP="00F6490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tcPr>
          <w:p w:rsidR="00F64904" w:rsidRPr="00067324" w:rsidRDefault="00F64904" w:rsidP="00F64904">
            <w:pPr>
              <w:spacing w:before="40" w:after="40" w:line="240" w:lineRule="auto"/>
              <w:jc w:val="center"/>
              <w:rPr>
                <w:rFonts w:cs="Arial"/>
                <w:sz w:val="16"/>
                <w:szCs w:val="16"/>
              </w:rPr>
            </w:pPr>
            <w:r w:rsidRPr="00F64904">
              <w:rPr>
                <w:rFonts w:cs="Arial"/>
                <w:sz w:val="16"/>
                <w:szCs w:val="16"/>
              </w:rPr>
              <w:t>442</w:t>
            </w:r>
          </w:p>
        </w:tc>
        <w:tc>
          <w:tcPr>
            <w:tcW w:w="827" w:type="pct"/>
            <w:tcBorders>
              <w:top w:val="single" w:sz="4" w:space="0" w:color="0093D0"/>
              <w:left w:val="single" w:sz="4" w:space="0" w:color="0093D0"/>
              <w:bottom w:val="single" w:sz="4" w:space="0" w:color="0093D0"/>
              <w:right w:val="single" w:sz="4" w:space="0" w:color="0093D0"/>
            </w:tcBorders>
            <w:vAlign w:val="center"/>
          </w:tcPr>
          <w:p w:rsidR="00F64904" w:rsidRPr="00067324" w:rsidRDefault="00F64904" w:rsidP="00F64904">
            <w:pPr>
              <w:spacing w:before="40" w:after="40" w:line="240" w:lineRule="auto"/>
              <w:jc w:val="center"/>
              <w:rPr>
                <w:rFonts w:cs="Arial"/>
                <w:sz w:val="16"/>
                <w:szCs w:val="16"/>
              </w:rPr>
            </w:pPr>
            <w:r w:rsidRPr="00F64904">
              <w:rPr>
                <w:rFonts w:cs="Arial"/>
                <w:sz w:val="16"/>
                <w:szCs w:val="16"/>
              </w:rPr>
              <w:t>440</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F64904" w:rsidRPr="00067324" w:rsidRDefault="00F64904" w:rsidP="00F64904">
            <w:pPr>
              <w:spacing w:before="40" w:after="40" w:line="240" w:lineRule="auto"/>
              <w:jc w:val="center"/>
              <w:rPr>
                <w:rFonts w:cs="Arial"/>
                <w:sz w:val="16"/>
                <w:szCs w:val="16"/>
              </w:rPr>
            </w:pPr>
            <w:r w:rsidRPr="00F64904">
              <w:rPr>
                <w:rFonts w:cs="Arial"/>
                <w:sz w:val="16"/>
                <w:szCs w:val="16"/>
              </w:rPr>
              <w:t>450</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rsidR="00F64904" w:rsidRPr="0026552D" w:rsidRDefault="00F64904" w:rsidP="00F64904">
            <w:pPr>
              <w:spacing w:before="40" w:after="40" w:line="240" w:lineRule="auto"/>
              <w:jc w:val="center"/>
              <w:rPr>
                <w:rFonts w:cs="Arial"/>
                <w:sz w:val="16"/>
                <w:szCs w:val="16"/>
              </w:rPr>
            </w:pPr>
            <w:r>
              <w:rPr>
                <w:rFonts w:cs="Arial"/>
                <w:sz w:val="16"/>
                <w:szCs w:val="16"/>
              </w:rPr>
              <w:t>440</w:t>
            </w:r>
            <w:r w:rsidRPr="0026552D">
              <w:rPr>
                <w:rFonts w:cs="Arial"/>
                <w:sz w:val="16"/>
                <w:szCs w:val="16"/>
              </w:rPr>
              <w:t xml:space="preserve"> – </w:t>
            </w:r>
            <w:r>
              <w:rPr>
                <w:rFonts w:cs="Arial"/>
                <w:sz w:val="16"/>
                <w:szCs w:val="16"/>
              </w:rPr>
              <w:t>500</w:t>
            </w:r>
          </w:p>
        </w:tc>
      </w:tr>
      <w:tr w:rsidR="00CC44EE" w:rsidRPr="00535408" w:rsidTr="0026552D">
        <w:trPr>
          <w:trHeight w:val="63"/>
        </w:trPr>
        <w:tc>
          <w:tcPr>
            <w:tcW w:w="871" w:type="pct"/>
            <w:tcBorders>
              <w:top w:val="single" w:sz="4" w:space="0" w:color="0093D0"/>
              <w:left w:val="nil"/>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QLD Border Rivers</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Supplemented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4A351E" w:rsidRDefault="004A351E" w:rsidP="00CC44EE">
            <w:pPr>
              <w:spacing w:before="40" w:after="40" w:line="240" w:lineRule="auto"/>
              <w:jc w:val="center"/>
              <w:rPr>
                <w:rFonts w:cs="Arial"/>
                <w:sz w:val="16"/>
                <w:szCs w:val="16"/>
              </w:rPr>
            </w:pPr>
            <w:r w:rsidRPr="004A351E">
              <w:rPr>
                <w:rFonts w:cs="Arial"/>
                <w:sz w:val="16"/>
                <w:szCs w:val="16"/>
              </w:rPr>
              <w:t>281</w:t>
            </w:r>
          </w:p>
        </w:tc>
        <w:tc>
          <w:tcPr>
            <w:tcW w:w="827" w:type="pct"/>
            <w:tcBorders>
              <w:top w:val="single" w:sz="4" w:space="0" w:color="0093D0"/>
              <w:left w:val="single" w:sz="4" w:space="0" w:color="0093D0"/>
              <w:bottom w:val="single" w:sz="4" w:space="0" w:color="0093D0"/>
              <w:right w:val="single" w:sz="4" w:space="0" w:color="0093D0"/>
            </w:tcBorders>
            <w:vAlign w:val="center"/>
          </w:tcPr>
          <w:p w:rsidR="00CC44EE" w:rsidRPr="00B50EFF" w:rsidRDefault="00CC44EE" w:rsidP="00CC44EE">
            <w:pPr>
              <w:spacing w:before="40" w:after="40" w:line="240" w:lineRule="auto"/>
              <w:jc w:val="center"/>
              <w:rPr>
                <w:rFonts w:cs="Arial"/>
                <w:sz w:val="16"/>
                <w:szCs w:val="16"/>
              </w:rPr>
            </w:pPr>
            <w:r w:rsidRPr="00B50EFF">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CC44EE" w:rsidRPr="00B50EFF" w:rsidRDefault="00CC44EE" w:rsidP="00CC44EE">
            <w:pPr>
              <w:spacing w:before="40" w:after="40" w:line="240" w:lineRule="auto"/>
              <w:jc w:val="center"/>
              <w:rPr>
                <w:rFonts w:cs="Arial"/>
                <w:sz w:val="16"/>
                <w:szCs w:val="16"/>
              </w:rPr>
            </w:pPr>
            <w:r w:rsidRPr="00B50EFF">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rsidR="00CC44EE" w:rsidRPr="00B50EFF" w:rsidRDefault="00CC44EE" w:rsidP="00CC44EE">
            <w:pPr>
              <w:spacing w:before="40" w:after="40" w:line="240" w:lineRule="auto"/>
              <w:jc w:val="center"/>
              <w:rPr>
                <w:rFonts w:cs="Arial"/>
                <w:sz w:val="16"/>
                <w:szCs w:val="16"/>
              </w:rPr>
            </w:pPr>
            <w:r w:rsidRPr="00B50EFF">
              <w:rPr>
                <w:rFonts w:cs="Arial"/>
                <w:sz w:val="16"/>
                <w:szCs w:val="16"/>
              </w:rPr>
              <w:t>No listings</w:t>
            </w:r>
          </w:p>
        </w:tc>
      </w:tr>
      <w:tr w:rsidR="00CC44EE" w:rsidRPr="00535408" w:rsidTr="0026552D">
        <w:tc>
          <w:tcPr>
            <w:tcW w:w="871" w:type="pct"/>
            <w:tcBorders>
              <w:top w:val="single" w:sz="4" w:space="0" w:color="0093D0"/>
              <w:left w:val="nil"/>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QLD Border Rivers</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proofErr w:type="spellStart"/>
            <w:r w:rsidRPr="00535408">
              <w:rPr>
                <w:rFonts w:cs="Arial"/>
                <w:sz w:val="16"/>
                <w:szCs w:val="16"/>
              </w:rPr>
              <w:t>Unsupplemented</w:t>
            </w:r>
            <w:proofErr w:type="spellEnd"/>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4A351E" w:rsidRDefault="004A351E" w:rsidP="00CC44EE">
            <w:pPr>
              <w:spacing w:before="40" w:after="40" w:line="240" w:lineRule="auto"/>
              <w:jc w:val="center"/>
              <w:rPr>
                <w:rFonts w:cs="Arial"/>
                <w:sz w:val="16"/>
                <w:szCs w:val="16"/>
              </w:rPr>
            </w:pPr>
            <w:r w:rsidRPr="004A351E">
              <w:rPr>
                <w:rFonts w:cs="Arial"/>
                <w:sz w:val="16"/>
                <w:szCs w:val="16"/>
              </w:rPr>
              <w:t>1,800</w:t>
            </w:r>
          </w:p>
        </w:tc>
        <w:tc>
          <w:tcPr>
            <w:tcW w:w="827" w:type="pct"/>
            <w:tcBorders>
              <w:top w:val="single" w:sz="4" w:space="0" w:color="0093D0"/>
              <w:left w:val="single" w:sz="4" w:space="0" w:color="0093D0"/>
              <w:bottom w:val="single" w:sz="4" w:space="0" w:color="0093D0"/>
              <w:right w:val="single" w:sz="4" w:space="0" w:color="0093D0"/>
            </w:tcBorders>
            <w:vAlign w:val="center"/>
          </w:tcPr>
          <w:p w:rsidR="00CC44EE" w:rsidRPr="00B50EFF" w:rsidRDefault="00CC44EE" w:rsidP="00CC44EE">
            <w:pPr>
              <w:spacing w:before="40" w:after="40" w:line="240" w:lineRule="auto"/>
              <w:jc w:val="center"/>
              <w:rPr>
                <w:rFonts w:cs="Arial"/>
                <w:sz w:val="16"/>
                <w:szCs w:val="16"/>
              </w:rPr>
            </w:pPr>
            <w:r w:rsidRPr="00B50EFF">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CC44EE" w:rsidRPr="00B50EFF" w:rsidRDefault="00CC44EE" w:rsidP="00CC44EE">
            <w:pPr>
              <w:spacing w:before="40" w:after="40" w:line="240" w:lineRule="auto"/>
              <w:jc w:val="center"/>
              <w:rPr>
                <w:rFonts w:cs="Arial"/>
                <w:sz w:val="16"/>
                <w:szCs w:val="16"/>
              </w:rPr>
            </w:pPr>
            <w:r w:rsidRPr="00B50EFF">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rsidR="00CC44EE" w:rsidRPr="00B50EFF" w:rsidRDefault="00CC44EE" w:rsidP="00CC44EE">
            <w:pPr>
              <w:spacing w:before="40" w:after="40" w:line="240" w:lineRule="auto"/>
              <w:jc w:val="center"/>
              <w:rPr>
                <w:rFonts w:cs="Arial"/>
                <w:sz w:val="16"/>
                <w:szCs w:val="16"/>
              </w:rPr>
            </w:pPr>
            <w:r w:rsidRPr="00B50EFF">
              <w:rPr>
                <w:rFonts w:cs="Arial"/>
                <w:sz w:val="16"/>
                <w:szCs w:val="16"/>
              </w:rPr>
              <w:t>No listings</w:t>
            </w:r>
          </w:p>
        </w:tc>
      </w:tr>
      <w:tr w:rsidR="00CC44EE" w:rsidRPr="00535408" w:rsidTr="0026552D">
        <w:tc>
          <w:tcPr>
            <w:tcW w:w="871" w:type="pct"/>
            <w:tcBorders>
              <w:top w:val="single" w:sz="4" w:space="0" w:color="0093D0"/>
              <w:left w:val="nil"/>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Condamine Balonne (St George)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Supplemented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4A351E" w:rsidRDefault="004A351E" w:rsidP="00CC44EE">
            <w:pPr>
              <w:spacing w:before="40" w:after="40" w:line="240" w:lineRule="auto"/>
              <w:jc w:val="center"/>
              <w:rPr>
                <w:rFonts w:cs="Arial"/>
                <w:sz w:val="16"/>
                <w:szCs w:val="16"/>
              </w:rPr>
            </w:pPr>
            <w:r w:rsidRPr="004A351E">
              <w:rPr>
                <w:rFonts w:cs="Arial"/>
                <w:sz w:val="16"/>
                <w:szCs w:val="16"/>
              </w:rPr>
              <w:t>2,150</w:t>
            </w:r>
          </w:p>
        </w:tc>
        <w:tc>
          <w:tcPr>
            <w:tcW w:w="827" w:type="pct"/>
            <w:tcBorders>
              <w:top w:val="single" w:sz="4" w:space="0" w:color="0093D0"/>
              <w:left w:val="single" w:sz="4" w:space="0" w:color="0093D0"/>
              <w:bottom w:val="single" w:sz="4" w:space="0" w:color="0093D0"/>
              <w:right w:val="single" w:sz="4" w:space="0" w:color="0093D0"/>
            </w:tcBorders>
            <w:vAlign w:val="center"/>
          </w:tcPr>
          <w:p w:rsidR="00CC44EE" w:rsidRPr="00B50EFF" w:rsidRDefault="00CC44EE" w:rsidP="00CC44EE">
            <w:pPr>
              <w:spacing w:before="40" w:after="40" w:line="240" w:lineRule="auto"/>
              <w:jc w:val="center"/>
              <w:rPr>
                <w:rFonts w:cs="Arial"/>
                <w:sz w:val="16"/>
                <w:szCs w:val="16"/>
              </w:rPr>
            </w:pPr>
            <w:r w:rsidRPr="00B50EFF">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CC44EE" w:rsidRPr="00B50EFF" w:rsidRDefault="00CC44EE" w:rsidP="00CC44EE">
            <w:pPr>
              <w:spacing w:before="40" w:after="40" w:line="240" w:lineRule="auto"/>
              <w:jc w:val="center"/>
              <w:rPr>
                <w:rFonts w:cs="Arial"/>
                <w:sz w:val="16"/>
                <w:szCs w:val="16"/>
              </w:rPr>
            </w:pPr>
            <w:r w:rsidRPr="00B50EFF">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rsidR="00CC44EE" w:rsidRPr="00B50EFF" w:rsidRDefault="00CC44EE" w:rsidP="00CC44EE">
            <w:pPr>
              <w:spacing w:before="40" w:after="40" w:line="240" w:lineRule="auto"/>
              <w:jc w:val="center"/>
              <w:rPr>
                <w:rFonts w:cs="Arial"/>
                <w:sz w:val="16"/>
                <w:szCs w:val="16"/>
              </w:rPr>
            </w:pPr>
            <w:r w:rsidRPr="00B50EFF">
              <w:rPr>
                <w:rFonts w:cs="Arial"/>
                <w:sz w:val="16"/>
                <w:szCs w:val="16"/>
              </w:rPr>
              <w:t>No listings</w:t>
            </w:r>
          </w:p>
        </w:tc>
      </w:tr>
      <w:tr w:rsidR="00CC44EE" w:rsidRPr="00535408" w:rsidTr="0026552D">
        <w:tc>
          <w:tcPr>
            <w:tcW w:w="871" w:type="pct"/>
            <w:tcBorders>
              <w:top w:val="single" w:sz="4" w:space="0" w:color="0093D0"/>
              <w:left w:val="nil"/>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Condamine Balonne (Condamine Balonne, Upper Condamine and Lower Balonne)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proofErr w:type="spellStart"/>
            <w:r w:rsidRPr="00535408">
              <w:rPr>
                <w:rFonts w:cs="Arial"/>
                <w:sz w:val="16"/>
                <w:szCs w:val="16"/>
              </w:rPr>
              <w:t>Unsupplemented</w:t>
            </w:r>
            <w:proofErr w:type="spellEnd"/>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4A351E" w:rsidRDefault="004A351E" w:rsidP="00CC44EE">
            <w:pPr>
              <w:spacing w:before="40" w:after="40" w:line="240" w:lineRule="auto"/>
              <w:jc w:val="center"/>
              <w:rPr>
                <w:rFonts w:cs="Arial"/>
                <w:sz w:val="16"/>
                <w:szCs w:val="16"/>
              </w:rPr>
            </w:pPr>
            <w:r w:rsidRPr="004A351E">
              <w:rPr>
                <w:rFonts w:cs="Arial"/>
                <w:sz w:val="16"/>
                <w:szCs w:val="16"/>
              </w:rPr>
              <w:t>1,513</w:t>
            </w:r>
          </w:p>
        </w:tc>
        <w:tc>
          <w:tcPr>
            <w:tcW w:w="827" w:type="pct"/>
            <w:tcBorders>
              <w:top w:val="single" w:sz="4" w:space="0" w:color="0093D0"/>
              <w:left w:val="single" w:sz="4" w:space="0" w:color="0093D0"/>
              <w:bottom w:val="single" w:sz="4" w:space="0" w:color="0093D0"/>
              <w:right w:val="single" w:sz="4" w:space="0" w:color="0093D0"/>
            </w:tcBorders>
            <w:vAlign w:val="center"/>
          </w:tcPr>
          <w:p w:rsidR="00CC44EE" w:rsidRPr="00B50EFF" w:rsidRDefault="00CC44EE" w:rsidP="00CC44EE">
            <w:pPr>
              <w:spacing w:before="40" w:after="40" w:line="240" w:lineRule="auto"/>
              <w:jc w:val="center"/>
              <w:rPr>
                <w:rFonts w:cs="Arial"/>
                <w:sz w:val="16"/>
                <w:szCs w:val="16"/>
              </w:rPr>
            </w:pPr>
            <w:r w:rsidRPr="00B50EFF">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CC44EE" w:rsidRPr="00B50EFF" w:rsidRDefault="00CC44EE" w:rsidP="00CC44EE">
            <w:pPr>
              <w:spacing w:before="40" w:after="40" w:line="240" w:lineRule="auto"/>
              <w:jc w:val="center"/>
              <w:rPr>
                <w:rFonts w:cs="Arial"/>
                <w:sz w:val="16"/>
                <w:szCs w:val="16"/>
              </w:rPr>
            </w:pPr>
            <w:r w:rsidRPr="00B50EFF">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rsidR="00CC44EE" w:rsidRPr="00B50EFF" w:rsidRDefault="00CC44EE" w:rsidP="00CC44EE">
            <w:pPr>
              <w:spacing w:before="40" w:after="40" w:line="240" w:lineRule="auto"/>
              <w:jc w:val="center"/>
              <w:rPr>
                <w:rFonts w:cs="Arial"/>
                <w:sz w:val="16"/>
                <w:szCs w:val="16"/>
              </w:rPr>
            </w:pPr>
            <w:r w:rsidRPr="00B50EFF">
              <w:rPr>
                <w:rFonts w:cs="Arial"/>
                <w:sz w:val="16"/>
                <w:szCs w:val="16"/>
              </w:rPr>
              <w:t>No listings</w:t>
            </w:r>
          </w:p>
        </w:tc>
      </w:tr>
      <w:tr w:rsidR="004A668A" w:rsidRPr="00535408" w:rsidTr="0026552D">
        <w:tc>
          <w:tcPr>
            <w:tcW w:w="871" w:type="pct"/>
            <w:tcBorders>
              <w:top w:val="single" w:sz="4" w:space="0" w:color="0093D0"/>
              <w:left w:val="nil"/>
              <w:bottom w:val="single" w:sz="4" w:space="0" w:color="0093D0"/>
              <w:right w:val="single" w:sz="4" w:space="0" w:color="0093D0"/>
            </w:tcBorders>
            <w:vAlign w:val="center"/>
          </w:tcPr>
          <w:p w:rsidR="00765975" w:rsidRPr="00535408" w:rsidRDefault="00765975" w:rsidP="00535408">
            <w:pPr>
              <w:spacing w:before="40" w:after="40" w:line="240" w:lineRule="auto"/>
              <w:rPr>
                <w:rFonts w:cs="Arial"/>
                <w:sz w:val="16"/>
                <w:szCs w:val="16"/>
              </w:rPr>
            </w:pPr>
            <w:r w:rsidRPr="00535408">
              <w:rPr>
                <w:rFonts w:cs="Arial"/>
                <w:sz w:val="16"/>
                <w:szCs w:val="16"/>
              </w:rPr>
              <w:t>Upper Condamine Alluvium</w:t>
            </w:r>
            <w:r w:rsidR="00855F9B">
              <w:rPr>
                <w:rStyle w:val="FootnoteReference"/>
                <w:rFonts w:cs="Arial"/>
                <w:sz w:val="16"/>
                <w:szCs w:val="16"/>
              </w:rPr>
              <w:footnoteReference w:id="5"/>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765975" w:rsidRPr="00535408" w:rsidRDefault="00855F9B" w:rsidP="00855F9B">
            <w:pPr>
              <w:spacing w:before="40" w:after="40" w:line="240" w:lineRule="auto"/>
              <w:rPr>
                <w:rFonts w:cs="Arial"/>
                <w:sz w:val="16"/>
                <w:szCs w:val="16"/>
              </w:rPr>
            </w:pPr>
            <w:r>
              <w:rPr>
                <w:rFonts w:cs="Arial"/>
                <w:sz w:val="16"/>
                <w:szCs w:val="16"/>
              </w:rPr>
              <w:t>Groundwater</w:t>
            </w:r>
            <w:r>
              <w:rPr>
                <w:rFonts w:cs="Arial"/>
                <w:sz w:val="16"/>
                <w:szCs w:val="16"/>
              </w:rPr>
              <w:br/>
            </w:r>
            <w:r w:rsidR="00765975" w:rsidRPr="00535408">
              <w:rPr>
                <w:rFonts w:cs="Arial"/>
                <w:sz w:val="16"/>
                <w:szCs w:val="16"/>
              </w:rPr>
              <w:t>(Sub Areas 1, 2, 3 and 4)</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765975" w:rsidRPr="00B50EFF" w:rsidRDefault="00903D3D" w:rsidP="00067324">
            <w:pPr>
              <w:spacing w:before="40" w:after="40" w:line="240" w:lineRule="auto"/>
              <w:jc w:val="center"/>
              <w:rPr>
                <w:rFonts w:cs="Arial"/>
                <w:sz w:val="16"/>
                <w:szCs w:val="16"/>
              </w:rPr>
            </w:pPr>
            <w:r w:rsidRPr="00B50EFF">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765975" w:rsidRPr="00B50EFF" w:rsidRDefault="00594817" w:rsidP="00067324">
            <w:pPr>
              <w:spacing w:before="40" w:after="40" w:line="240" w:lineRule="auto"/>
              <w:jc w:val="center"/>
              <w:rPr>
                <w:rFonts w:cs="Arial"/>
                <w:sz w:val="16"/>
                <w:szCs w:val="16"/>
              </w:rPr>
            </w:pPr>
            <w:r w:rsidRPr="00B50EFF">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765975" w:rsidRPr="00B50EFF" w:rsidRDefault="00594817" w:rsidP="00067324">
            <w:pPr>
              <w:spacing w:before="40" w:after="40" w:line="240" w:lineRule="auto"/>
              <w:jc w:val="center"/>
              <w:rPr>
                <w:rFonts w:cs="Arial"/>
                <w:sz w:val="16"/>
                <w:szCs w:val="16"/>
              </w:rPr>
            </w:pPr>
            <w:r w:rsidRPr="00B50EFF">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rsidR="00765975" w:rsidRPr="00B50EFF" w:rsidRDefault="00765975" w:rsidP="009F5AB4">
            <w:pPr>
              <w:spacing w:before="40" w:after="40" w:line="240" w:lineRule="auto"/>
              <w:jc w:val="center"/>
              <w:rPr>
                <w:rFonts w:cs="Arial"/>
                <w:sz w:val="16"/>
                <w:szCs w:val="16"/>
              </w:rPr>
            </w:pPr>
            <w:r w:rsidRPr="00B50EFF">
              <w:rPr>
                <w:rFonts w:cs="Arial"/>
                <w:sz w:val="16"/>
                <w:szCs w:val="16"/>
              </w:rPr>
              <w:t>No listings</w:t>
            </w:r>
          </w:p>
        </w:tc>
      </w:tr>
      <w:tr w:rsidR="004A668A" w:rsidRPr="00535408" w:rsidTr="0026552D">
        <w:tc>
          <w:tcPr>
            <w:tcW w:w="871" w:type="pct"/>
            <w:tcBorders>
              <w:top w:val="single" w:sz="4" w:space="0" w:color="0093D0"/>
              <w:left w:val="nil"/>
              <w:bottom w:val="single" w:sz="4" w:space="0" w:color="0093D0"/>
              <w:right w:val="single" w:sz="4" w:space="0" w:color="0093D0"/>
            </w:tcBorders>
            <w:vAlign w:val="center"/>
          </w:tcPr>
          <w:p w:rsidR="00765975" w:rsidRPr="00535408" w:rsidRDefault="00765975" w:rsidP="00535408">
            <w:pPr>
              <w:spacing w:before="40" w:after="40" w:line="240" w:lineRule="auto"/>
              <w:rPr>
                <w:rFonts w:cs="Arial"/>
                <w:sz w:val="16"/>
                <w:szCs w:val="16"/>
              </w:rPr>
            </w:pPr>
            <w:r w:rsidRPr="00535408">
              <w:rPr>
                <w:rFonts w:cs="Arial"/>
                <w:sz w:val="16"/>
                <w:szCs w:val="16"/>
              </w:rPr>
              <w:t>Lower Balonne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765975" w:rsidRPr="00535408" w:rsidRDefault="00765975" w:rsidP="00535408">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765975" w:rsidRPr="00B50EFF" w:rsidRDefault="00903D3D" w:rsidP="00067324">
            <w:pPr>
              <w:spacing w:before="40" w:after="40" w:line="240" w:lineRule="auto"/>
              <w:jc w:val="center"/>
              <w:rPr>
                <w:rFonts w:cs="Arial"/>
                <w:sz w:val="16"/>
                <w:szCs w:val="16"/>
              </w:rPr>
            </w:pPr>
            <w:r w:rsidRPr="00B50EFF">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765975" w:rsidRPr="00B50EFF" w:rsidRDefault="00594817" w:rsidP="00067324">
            <w:pPr>
              <w:spacing w:before="40" w:after="40" w:line="240" w:lineRule="auto"/>
              <w:jc w:val="center"/>
              <w:rPr>
                <w:rFonts w:cs="Arial"/>
                <w:sz w:val="16"/>
                <w:szCs w:val="16"/>
              </w:rPr>
            </w:pPr>
            <w:r w:rsidRPr="00B50EFF">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765975" w:rsidRPr="00B50EFF" w:rsidRDefault="00594817" w:rsidP="00067324">
            <w:pPr>
              <w:spacing w:before="40" w:after="40" w:line="240" w:lineRule="auto"/>
              <w:jc w:val="center"/>
              <w:rPr>
                <w:rFonts w:cs="Arial"/>
                <w:sz w:val="16"/>
                <w:szCs w:val="16"/>
              </w:rPr>
            </w:pPr>
            <w:r w:rsidRPr="00B50EFF">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rsidR="00765975" w:rsidRPr="00B50EFF" w:rsidRDefault="00765975" w:rsidP="00535408">
            <w:pPr>
              <w:spacing w:before="40" w:after="40" w:line="240" w:lineRule="auto"/>
              <w:jc w:val="center"/>
              <w:rPr>
                <w:rFonts w:cs="Arial"/>
                <w:sz w:val="16"/>
                <w:szCs w:val="16"/>
              </w:rPr>
            </w:pPr>
            <w:r w:rsidRPr="00B50EFF">
              <w:rPr>
                <w:rFonts w:cs="Arial"/>
                <w:sz w:val="16"/>
                <w:szCs w:val="16"/>
              </w:rPr>
              <w:t>No listings</w:t>
            </w:r>
          </w:p>
        </w:tc>
      </w:tr>
    </w:tbl>
    <w:p w:rsidR="003C74A1" w:rsidRDefault="003C74A1" w:rsidP="006E2906">
      <w:pPr>
        <w:pStyle w:val="MJAnormal"/>
      </w:pPr>
    </w:p>
    <w:p w:rsidR="003C74A1" w:rsidRDefault="00F561EE" w:rsidP="00F561EE">
      <w:pPr>
        <w:rPr>
          <w:i/>
          <w:sz w:val="20"/>
        </w:rPr>
      </w:pPr>
      <w:r w:rsidRPr="00F561EE">
        <w:rPr>
          <w:i/>
          <w:sz w:val="20"/>
        </w:rPr>
        <w:t>Note</w:t>
      </w:r>
      <w:r w:rsidR="003C74A1" w:rsidRPr="00F561EE">
        <w:rPr>
          <w:i/>
          <w:sz w:val="20"/>
        </w:rPr>
        <w:t xml:space="preserve">: Data in this report is collected from publically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even" r:id="rId10"/>
      <w:headerReference w:type="default" r:id="rId11"/>
      <w:footerReference w:type="even" r:id="rId12"/>
      <w:footerReference w:type="default" r:id="rId13"/>
      <w:headerReference w:type="first" r:id="rId14"/>
      <w:footerReference w:type="first" r:id="rId15"/>
      <w:pgSz w:w="16838" w:h="11906" w:orient="landscape"/>
      <w:pgMar w:top="1276" w:right="709" w:bottom="707" w:left="993"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ADD" w:rsidRDefault="00706ADD" w:rsidP="005927B0">
      <w:pPr>
        <w:spacing w:after="0" w:line="240" w:lineRule="auto"/>
      </w:pPr>
      <w:r>
        <w:separator/>
      </w:r>
    </w:p>
  </w:endnote>
  <w:endnote w:type="continuationSeparator" w:id="0">
    <w:p w:rsidR="00706ADD" w:rsidRDefault="00706ADD" w:rsidP="00592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6E" w:rsidRDefault="00D70F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6E" w:rsidRDefault="00D70F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6E" w:rsidRDefault="00D70F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ADD" w:rsidRDefault="00706ADD" w:rsidP="005927B0">
      <w:pPr>
        <w:spacing w:after="0" w:line="240" w:lineRule="auto"/>
      </w:pPr>
      <w:r>
        <w:separator/>
      </w:r>
    </w:p>
  </w:footnote>
  <w:footnote w:type="continuationSeparator" w:id="0">
    <w:p w:rsidR="00706ADD" w:rsidRDefault="00706ADD" w:rsidP="005927B0">
      <w:pPr>
        <w:spacing w:after="0" w:line="240" w:lineRule="auto"/>
      </w:pPr>
      <w:r>
        <w:continuationSeparator/>
      </w:r>
    </w:p>
  </w:footnote>
  <w:footnote w:id="1">
    <w:p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784111">
        <w:rPr>
          <w:rFonts w:ascii="Calibri" w:hAnsi="Calibri"/>
          <w:sz w:val="16"/>
        </w:rPr>
        <w:t>Dec</w:t>
      </w:r>
      <w:r w:rsidR="00133DF5">
        <w:rPr>
          <w:rFonts w:ascii="Calibri" w:hAnsi="Calibri"/>
          <w:sz w:val="16"/>
        </w:rPr>
        <w:t>ember</w:t>
      </w:r>
      <w:r>
        <w:rPr>
          <w:rFonts w:ascii="Calibri" w:hAnsi="Calibri"/>
          <w:sz w:val="16"/>
        </w:rPr>
        <w:t xml:space="preserve"> 2015</w:t>
      </w:r>
      <w:r w:rsidRPr="00FD5FBE">
        <w:rPr>
          <w:rFonts w:ascii="Calibri" w:hAnsi="Calibri"/>
          <w:sz w:val="16"/>
        </w:rPr>
        <w:t>.</w:t>
      </w:r>
    </w:p>
  </w:footnote>
  <w:footnote w:id="3">
    <w:p w:rsidR="006B029C" w:rsidRPr="00FD5FBE" w:rsidRDefault="006B029C"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total value traded divided by total volume traded over the quarter. </w:t>
      </w:r>
    </w:p>
  </w:footnote>
  <w:footnote w:id="4">
    <w:p w:rsidR="006B029C" w:rsidRPr="00FD5FBE" w:rsidRDefault="006B029C"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00133DF5" w:rsidRPr="00FD5FBE">
        <w:rPr>
          <w:rFonts w:ascii="Calibri" w:hAnsi="Calibri"/>
          <w:sz w:val="16"/>
        </w:rPr>
        <w:t xml:space="preserve">Water </w:t>
      </w:r>
      <w:r w:rsidR="00133DF5">
        <w:rPr>
          <w:rFonts w:ascii="Calibri" w:hAnsi="Calibri"/>
          <w:sz w:val="16"/>
        </w:rPr>
        <w:t>Intermediary</w:t>
      </w:r>
      <w:r w:rsidR="00133DF5" w:rsidRPr="00FD5FBE">
        <w:rPr>
          <w:rFonts w:ascii="Calibri" w:hAnsi="Calibri"/>
          <w:sz w:val="16"/>
        </w:rPr>
        <w:t xml:space="preserve"> Prices </w:t>
      </w:r>
      <w:r w:rsidR="00133DF5">
        <w:rPr>
          <w:rFonts w:ascii="Calibri" w:hAnsi="Calibri"/>
          <w:sz w:val="16"/>
        </w:rPr>
        <w:t>reflect the range of</w:t>
      </w:r>
      <w:r w:rsidR="00133DF5" w:rsidRPr="00FD5FBE">
        <w:rPr>
          <w:rFonts w:ascii="Calibri" w:hAnsi="Calibri"/>
          <w:sz w:val="16"/>
        </w:rPr>
        <w:t xml:space="preserve"> spot prices </w:t>
      </w:r>
      <w:r w:rsidR="00133DF5">
        <w:rPr>
          <w:rFonts w:ascii="Calibri" w:hAnsi="Calibri"/>
          <w:sz w:val="16"/>
        </w:rPr>
        <w:t xml:space="preserve">that were </w:t>
      </w:r>
      <w:r w:rsidR="00133DF5" w:rsidRPr="00FD5FBE">
        <w:rPr>
          <w:rFonts w:ascii="Calibri" w:hAnsi="Calibri"/>
          <w:sz w:val="16"/>
        </w:rPr>
        <w:t xml:space="preserve">listed on water intermediary </w:t>
      </w:r>
      <w:r w:rsidR="00133DF5">
        <w:rPr>
          <w:rFonts w:ascii="Calibri" w:hAnsi="Calibri"/>
          <w:sz w:val="16"/>
        </w:rPr>
        <w:t xml:space="preserve">(exchange and broker) </w:t>
      </w:r>
      <w:r w:rsidR="00133DF5" w:rsidRPr="00FD5FBE">
        <w:rPr>
          <w:rFonts w:ascii="Calibri" w:hAnsi="Calibri"/>
          <w:sz w:val="16"/>
        </w:rPr>
        <w:t>websites</w:t>
      </w:r>
      <w:r w:rsidR="00133DF5">
        <w:rPr>
          <w:rFonts w:ascii="Calibri" w:hAnsi="Calibri"/>
          <w:sz w:val="16"/>
        </w:rPr>
        <w:t xml:space="preserve"> in </w:t>
      </w:r>
      <w:r w:rsidR="00784111">
        <w:rPr>
          <w:rFonts w:ascii="Calibri" w:hAnsi="Calibri"/>
          <w:sz w:val="16"/>
        </w:rPr>
        <w:t>December</w:t>
      </w:r>
      <w:r w:rsidR="00133DF5">
        <w:rPr>
          <w:rFonts w:ascii="Calibri" w:hAnsi="Calibri"/>
          <w:sz w:val="16"/>
        </w:rPr>
        <w:t xml:space="preserve"> 2015</w:t>
      </w:r>
      <w:r w:rsidR="00133DF5" w:rsidRPr="00FD5FBE">
        <w:rPr>
          <w:rFonts w:ascii="Calibri" w:hAnsi="Calibri"/>
          <w:sz w:val="16"/>
        </w:rPr>
        <w:t>.</w:t>
      </w:r>
    </w:p>
  </w:footnote>
  <w:footnote w:id="5">
    <w:p w:rsidR="00855F9B" w:rsidRPr="00855F9B" w:rsidRDefault="00855F9B" w:rsidP="00855F9B">
      <w:pPr>
        <w:pStyle w:val="FootnoteText"/>
        <w:rPr>
          <w:rFonts w:ascii="Calibri" w:hAnsi="Calibri"/>
          <w:sz w:val="16"/>
        </w:rPr>
      </w:pPr>
      <w:r>
        <w:rPr>
          <w:rStyle w:val="FootnoteReference"/>
        </w:rPr>
        <w:footnoteRef/>
      </w:r>
      <w:r>
        <w:t xml:space="preserve"> </w:t>
      </w:r>
      <w:r>
        <w:tab/>
      </w:r>
      <w:r w:rsidRPr="00855F9B">
        <w:rPr>
          <w:rFonts w:ascii="Calibri" w:hAnsi="Calibri"/>
          <w:sz w:val="16"/>
        </w:rPr>
        <w:t xml:space="preserve">Data is only available up to </w:t>
      </w:r>
      <w:r w:rsidR="00784111">
        <w:rPr>
          <w:rFonts w:ascii="Calibri" w:hAnsi="Calibri"/>
          <w:sz w:val="16"/>
        </w:rPr>
        <w:t>September</w:t>
      </w:r>
      <w:r w:rsidRPr="00855F9B">
        <w:rPr>
          <w:rFonts w:ascii="Calibri" w:hAnsi="Calibri"/>
          <w:sz w:val="16"/>
        </w:rPr>
        <w:t xml:space="preserve"> 2015 on the QLD Government website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6E" w:rsidRDefault="00D70F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9C" w:rsidRDefault="006B029C" w:rsidP="005927B0">
    <w:pPr>
      <w:pStyle w:val="Header"/>
      <w:jc w:val="right"/>
    </w:pPr>
    <w:r w:rsidRPr="00C96593">
      <w:rPr>
        <w:noProof/>
      </w:rPr>
      <w:drawing>
        <wp:inline distT="0" distB="0" distL="0" distR="0">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6E" w:rsidRDefault="00D70F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5927B0"/>
    <w:rsid w:val="00000968"/>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53FE"/>
    <w:rsid w:val="000D41E8"/>
    <w:rsid w:val="000D43DC"/>
    <w:rsid w:val="000D5153"/>
    <w:rsid w:val="000D6C4A"/>
    <w:rsid w:val="000E0546"/>
    <w:rsid w:val="000E1336"/>
    <w:rsid w:val="000E3A42"/>
    <w:rsid w:val="000E5A40"/>
    <w:rsid w:val="000E6E9D"/>
    <w:rsid w:val="000F370D"/>
    <w:rsid w:val="000F7D57"/>
    <w:rsid w:val="000F7E99"/>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5774"/>
    <w:rsid w:val="001F63AB"/>
    <w:rsid w:val="00202A02"/>
    <w:rsid w:val="00202C80"/>
    <w:rsid w:val="002111ED"/>
    <w:rsid w:val="00212881"/>
    <w:rsid w:val="0021508C"/>
    <w:rsid w:val="002171DD"/>
    <w:rsid w:val="002209C7"/>
    <w:rsid w:val="00221683"/>
    <w:rsid w:val="0023228B"/>
    <w:rsid w:val="00234858"/>
    <w:rsid w:val="0023653A"/>
    <w:rsid w:val="00243A66"/>
    <w:rsid w:val="002503DA"/>
    <w:rsid w:val="0025513C"/>
    <w:rsid w:val="00255E0B"/>
    <w:rsid w:val="0025702A"/>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772F"/>
    <w:rsid w:val="002B0A48"/>
    <w:rsid w:val="002B106C"/>
    <w:rsid w:val="002B35FD"/>
    <w:rsid w:val="002B477E"/>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438A"/>
    <w:rsid w:val="00320269"/>
    <w:rsid w:val="00324B8B"/>
    <w:rsid w:val="003257C9"/>
    <w:rsid w:val="00330B7A"/>
    <w:rsid w:val="00331C0F"/>
    <w:rsid w:val="003371E8"/>
    <w:rsid w:val="0034398F"/>
    <w:rsid w:val="0034473D"/>
    <w:rsid w:val="00356DDC"/>
    <w:rsid w:val="003670E3"/>
    <w:rsid w:val="003679CE"/>
    <w:rsid w:val="003679E9"/>
    <w:rsid w:val="003701CB"/>
    <w:rsid w:val="003701EA"/>
    <w:rsid w:val="00372DFD"/>
    <w:rsid w:val="003744E8"/>
    <w:rsid w:val="0037672B"/>
    <w:rsid w:val="003806BC"/>
    <w:rsid w:val="00381125"/>
    <w:rsid w:val="003851DA"/>
    <w:rsid w:val="003929E3"/>
    <w:rsid w:val="00393473"/>
    <w:rsid w:val="003974C9"/>
    <w:rsid w:val="003A0109"/>
    <w:rsid w:val="003A2883"/>
    <w:rsid w:val="003A2C62"/>
    <w:rsid w:val="003A62E1"/>
    <w:rsid w:val="003A640B"/>
    <w:rsid w:val="003B1FBF"/>
    <w:rsid w:val="003C3B67"/>
    <w:rsid w:val="003C74A1"/>
    <w:rsid w:val="003D2FD1"/>
    <w:rsid w:val="003D3E7C"/>
    <w:rsid w:val="003D616C"/>
    <w:rsid w:val="003D76F2"/>
    <w:rsid w:val="003E46E5"/>
    <w:rsid w:val="003F2574"/>
    <w:rsid w:val="003F3F26"/>
    <w:rsid w:val="00400E57"/>
    <w:rsid w:val="00401226"/>
    <w:rsid w:val="00401A34"/>
    <w:rsid w:val="00405DEF"/>
    <w:rsid w:val="004128E3"/>
    <w:rsid w:val="00412D8A"/>
    <w:rsid w:val="00414D87"/>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29DE"/>
    <w:rsid w:val="0048363D"/>
    <w:rsid w:val="00485796"/>
    <w:rsid w:val="00487A6C"/>
    <w:rsid w:val="00490003"/>
    <w:rsid w:val="004972E0"/>
    <w:rsid w:val="004977AB"/>
    <w:rsid w:val="004A0A59"/>
    <w:rsid w:val="004A351E"/>
    <w:rsid w:val="004A4D8C"/>
    <w:rsid w:val="004A668A"/>
    <w:rsid w:val="004B2477"/>
    <w:rsid w:val="004B4AD6"/>
    <w:rsid w:val="004B6309"/>
    <w:rsid w:val="004C19BF"/>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11418"/>
    <w:rsid w:val="00512356"/>
    <w:rsid w:val="005172B1"/>
    <w:rsid w:val="005248A7"/>
    <w:rsid w:val="00530635"/>
    <w:rsid w:val="0053155D"/>
    <w:rsid w:val="00531BDE"/>
    <w:rsid w:val="005343F7"/>
    <w:rsid w:val="00535408"/>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133C"/>
    <w:rsid w:val="005C241E"/>
    <w:rsid w:val="005C5FE1"/>
    <w:rsid w:val="005C652E"/>
    <w:rsid w:val="005C7062"/>
    <w:rsid w:val="005D0CB6"/>
    <w:rsid w:val="005D3465"/>
    <w:rsid w:val="005D4899"/>
    <w:rsid w:val="005E0403"/>
    <w:rsid w:val="005E1AA2"/>
    <w:rsid w:val="005E7D98"/>
    <w:rsid w:val="005F02E3"/>
    <w:rsid w:val="005F0DFD"/>
    <w:rsid w:val="00600B61"/>
    <w:rsid w:val="00600D90"/>
    <w:rsid w:val="0060214C"/>
    <w:rsid w:val="00604FE9"/>
    <w:rsid w:val="0060576B"/>
    <w:rsid w:val="006062D4"/>
    <w:rsid w:val="00607C81"/>
    <w:rsid w:val="00611800"/>
    <w:rsid w:val="00615C50"/>
    <w:rsid w:val="00630AFD"/>
    <w:rsid w:val="00633FF2"/>
    <w:rsid w:val="006354DA"/>
    <w:rsid w:val="00640365"/>
    <w:rsid w:val="006423B7"/>
    <w:rsid w:val="00647CF5"/>
    <w:rsid w:val="006505C3"/>
    <w:rsid w:val="00650DA9"/>
    <w:rsid w:val="00650F75"/>
    <w:rsid w:val="00651888"/>
    <w:rsid w:val="0065292B"/>
    <w:rsid w:val="00654E29"/>
    <w:rsid w:val="00662E27"/>
    <w:rsid w:val="0067134F"/>
    <w:rsid w:val="006750D1"/>
    <w:rsid w:val="006765D1"/>
    <w:rsid w:val="006810DA"/>
    <w:rsid w:val="00681EEC"/>
    <w:rsid w:val="00682FE2"/>
    <w:rsid w:val="006830C8"/>
    <w:rsid w:val="00683AF9"/>
    <w:rsid w:val="0068405B"/>
    <w:rsid w:val="006843CC"/>
    <w:rsid w:val="0068664A"/>
    <w:rsid w:val="0068757E"/>
    <w:rsid w:val="006945F2"/>
    <w:rsid w:val="00697A29"/>
    <w:rsid w:val="006A3CE6"/>
    <w:rsid w:val="006A530D"/>
    <w:rsid w:val="006A65FC"/>
    <w:rsid w:val="006B029C"/>
    <w:rsid w:val="006B402D"/>
    <w:rsid w:val="006B4113"/>
    <w:rsid w:val="006C1D0A"/>
    <w:rsid w:val="006C4587"/>
    <w:rsid w:val="006D0E6C"/>
    <w:rsid w:val="006D4283"/>
    <w:rsid w:val="006E0333"/>
    <w:rsid w:val="006E0AD9"/>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40EF"/>
    <w:rsid w:val="00727334"/>
    <w:rsid w:val="007278A8"/>
    <w:rsid w:val="007302DF"/>
    <w:rsid w:val="00731E19"/>
    <w:rsid w:val="007327DC"/>
    <w:rsid w:val="00737B92"/>
    <w:rsid w:val="00740739"/>
    <w:rsid w:val="00741437"/>
    <w:rsid w:val="00750436"/>
    <w:rsid w:val="00750478"/>
    <w:rsid w:val="007517AE"/>
    <w:rsid w:val="007608D1"/>
    <w:rsid w:val="0076376B"/>
    <w:rsid w:val="00765975"/>
    <w:rsid w:val="00770A20"/>
    <w:rsid w:val="00772DA9"/>
    <w:rsid w:val="007754CD"/>
    <w:rsid w:val="00784111"/>
    <w:rsid w:val="0079000A"/>
    <w:rsid w:val="0079289C"/>
    <w:rsid w:val="00793094"/>
    <w:rsid w:val="007A51AB"/>
    <w:rsid w:val="007A5382"/>
    <w:rsid w:val="007A7C5F"/>
    <w:rsid w:val="007B091D"/>
    <w:rsid w:val="007B346E"/>
    <w:rsid w:val="007B5318"/>
    <w:rsid w:val="007B7316"/>
    <w:rsid w:val="007B7D19"/>
    <w:rsid w:val="007C273D"/>
    <w:rsid w:val="007C2D18"/>
    <w:rsid w:val="007C6AFF"/>
    <w:rsid w:val="007D05C3"/>
    <w:rsid w:val="007D2403"/>
    <w:rsid w:val="007D2F57"/>
    <w:rsid w:val="007D476D"/>
    <w:rsid w:val="007E0D61"/>
    <w:rsid w:val="007E2276"/>
    <w:rsid w:val="007E2C01"/>
    <w:rsid w:val="007E408C"/>
    <w:rsid w:val="007E5B3A"/>
    <w:rsid w:val="007E6630"/>
    <w:rsid w:val="007E6A72"/>
    <w:rsid w:val="007F028E"/>
    <w:rsid w:val="007F16F0"/>
    <w:rsid w:val="007F1A2A"/>
    <w:rsid w:val="007F4DCA"/>
    <w:rsid w:val="00800689"/>
    <w:rsid w:val="008024AB"/>
    <w:rsid w:val="008033A5"/>
    <w:rsid w:val="008051F3"/>
    <w:rsid w:val="008053E4"/>
    <w:rsid w:val="008060B9"/>
    <w:rsid w:val="0081056D"/>
    <w:rsid w:val="00812B95"/>
    <w:rsid w:val="00816EB0"/>
    <w:rsid w:val="00817939"/>
    <w:rsid w:val="0082247B"/>
    <w:rsid w:val="00827936"/>
    <w:rsid w:val="008345DE"/>
    <w:rsid w:val="00837345"/>
    <w:rsid w:val="00837963"/>
    <w:rsid w:val="00840E5F"/>
    <w:rsid w:val="0084339D"/>
    <w:rsid w:val="00843540"/>
    <w:rsid w:val="0084501E"/>
    <w:rsid w:val="00851C0B"/>
    <w:rsid w:val="008529B0"/>
    <w:rsid w:val="00854338"/>
    <w:rsid w:val="00855F9B"/>
    <w:rsid w:val="008654E7"/>
    <w:rsid w:val="00865D0E"/>
    <w:rsid w:val="008726BA"/>
    <w:rsid w:val="008739EA"/>
    <w:rsid w:val="008745B5"/>
    <w:rsid w:val="00874D76"/>
    <w:rsid w:val="008825EE"/>
    <w:rsid w:val="00882D17"/>
    <w:rsid w:val="00883048"/>
    <w:rsid w:val="008869AA"/>
    <w:rsid w:val="00887873"/>
    <w:rsid w:val="00893EA8"/>
    <w:rsid w:val="008943FE"/>
    <w:rsid w:val="008A083B"/>
    <w:rsid w:val="008A3202"/>
    <w:rsid w:val="008B2380"/>
    <w:rsid w:val="008B3B01"/>
    <w:rsid w:val="008B43CA"/>
    <w:rsid w:val="008B7B5A"/>
    <w:rsid w:val="008C02EE"/>
    <w:rsid w:val="008C1CA8"/>
    <w:rsid w:val="008C2C2E"/>
    <w:rsid w:val="008D12B2"/>
    <w:rsid w:val="008D14E3"/>
    <w:rsid w:val="008D259B"/>
    <w:rsid w:val="008D2D7F"/>
    <w:rsid w:val="008E0742"/>
    <w:rsid w:val="008E126E"/>
    <w:rsid w:val="008E2FE9"/>
    <w:rsid w:val="008F093D"/>
    <w:rsid w:val="008F1602"/>
    <w:rsid w:val="008F4576"/>
    <w:rsid w:val="008F74D9"/>
    <w:rsid w:val="00900132"/>
    <w:rsid w:val="0090015F"/>
    <w:rsid w:val="009026F2"/>
    <w:rsid w:val="00902E7C"/>
    <w:rsid w:val="00903D3D"/>
    <w:rsid w:val="00904338"/>
    <w:rsid w:val="00905598"/>
    <w:rsid w:val="009118E7"/>
    <w:rsid w:val="00914BAC"/>
    <w:rsid w:val="00920BBE"/>
    <w:rsid w:val="00920CBA"/>
    <w:rsid w:val="009254D2"/>
    <w:rsid w:val="009255F9"/>
    <w:rsid w:val="00930C5C"/>
    <w:rsid w:val="00934D37"/>
    <w:rsid w:val="00934E15"/>
    <w:rsid w:val="009360F9"/>
    <w:rsid w:val="00941F1A"/>
    <w:rsid w:val="00942B24"/>
    <w:rsid w:val="00944987"/>
    <w:rsid w:val="00952058"/>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E4D"/>
    <w:rsid w:val="009C20F1"/>
    <w:rsid w:val="009C5ECF"/>
    <w:rsid w:val="009D19EB"/>
    <w:rsid w:val="009D27E3"/>
    <w:rsid w:val="009D3DB4"/>
    <w:rsid w:val="009D5360"/>
    <w:rsid w:val="009E1210"/>
    <w:rsid w:val="009E77D2"/>
    <w:rsid w:val="009F5AB4"/>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23362"/>
    <w:rsid w:val="00B24B7F"/>
    <w:rsid w:val="00B315C2"/>
    <w:rsid w:val="00B3668D"/>
    <w:rsid w:val="00B50EFF"/>
    <w:rsid w:val="00B52E85"/>
    <w:rsid w:val="00B550EA"/>
    <w:rsid w:val="00B5544E"/>
    <w:rsid w:val="00B56BC1"/>
    <w:rsid w:val="00B6387F"/>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61351"/>
    <w:rsid w:val="00C614EC"/>
    <w:rsid w:val="00C62548"/>
    <w:rsid w:val="00C645AD"/>
    <w:rsid w:val="00C651A3"/>
    <w:rsid w:val="00C773D2"/>
    <w:rsid w:val="00C8330D"/>
    <w:rsid w:val="00C853C3"/>
    <w:rsid w:val="00C873E1"/>
    <w:rsid w:val="00C9433C"/>
    <w:rsid w:val="00CA043F"/>
    <w:rsid w:val="00CA2A7A"/>
    <w:rsid w:val="00CA607D"/>
    <w:rsid w:val="00CA6879"/>
    <w:rsid w:val="00CA79B9"/>
    <w:rsid w:val="00CB1B93"/>
    <w:rsid w:val="00CC083A"/>
    <w:rsid w:val="00CC208D"/>
    <w:rsid w:val="00CC2FF2"/>
    <w:rsid w:val="00CC44EE"/>
    <w:rsid w:val="00CC63B0"/>
    <w:rsid w:val="00CC6769"/>
    <w:rsid w:val="00CC676F"/>
    <w:rsid w:val="00CD1989"/>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7B65"/>
    <w:rsid w:val="00D4308F"/>
    <w:rsid w:val="00D44C8E"/>
    <w:rsid w:val="00D4678A"/>
    <w:rsid w:val="00D518D9"/>
    <w:rsid w:val="00D51D18"/>
    <w:rsid w:val="00D52313"/>
    <w:rsid w:val="00D52510"/>
    <w:rsid w:val="00D52699"/>
    <w:rsid w:val="00D60704"/>
    <w:rsid w:val="00D628BB"/>
    <w:rsid w:val="00D628C9"/>
    <w:rsid w:val="00D62CA3"/>
    <w:rsid w:val="00D63A78"/>
    <w:rsid w:val="00D64026"/>
    <w:rsid w:val="00D64907"/>
    <w:rsid w:val="00D708EF"/>
    <w:rsid w:val="00D70F6E"/>
    <w:rsid w:val="00D71D0D"/>
    <w:rsid w:val="00D74703"/>
    <w:rsid w:val="00D807DD"/>
    <w:rsid w:val="00D81238"/>
    <w:rsid w:val="00D828AF"/>
    <w:rsid w:val="00D82B20"/>
    <w:rsid w:val="00D8766E"/>
    <w:rsid w:val="00D9054A"/>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4766"/>
    <w:rsid w:val="00E003C2"/>
    <w:rsid w:val="00E00F56"/>
    <w:rsid w:val="00E02BEB"/>
    <w:rsid w:val="00E0453E"/>
    <w:rsid w:val="00E04BDA"/>
    <w:rsid w:val="00E051E5"/>
    <w:rsid w:val="00E070BB"/>
    <w:rsid w:val="00E15123"/>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449B"/>
    <w:rsid w:val="00E8188A"/>
    <w:rsid w:val="00E825C6"/>
    <w:rsid w:val="00E8513E"/>
    <w:rsid w:val="00E85FEE"/>
    <w:rsid w:val="00E9785F"/>
    <w:rsid w:val="00EA6690"/>
    <w:rsid w:val="00EB4514"/>
    <w:rsid w:val="00EB589F"/>
    <w:rsid w:val="00EC2B1C"/>
    <w:rsid w:val="00EC348B"/>
    <w:rsid w:val="00EC49F8"/>
    <w:rsid w:val="00ED0656"/>
    <w:rsid w:val="00ED2743"/>
    <w:rsid w:val="00ED3686"/>
    <w:rsid w:val="00ED5604"/>
    <w:rsid w:val="00ED6810"/>
    <w:rsid w:val="00ED77B4"/>
    <w:rsid w:val="00EE7F0A"/>
    <w:rsid w:val="00F01930"/>
    <w:rsid w:val="00F04852"/>
    <w:rsid w:val="00F058F7"/>
    <w:rsid w:val="00F13254"/>
    <w:rsid w:val="00F209A6"/>
    <w:rsid w:val="00F22811"/>
    <w:rsid w:val="00F22CCF"/>
    <w:rsid w:val="00F23614"/>
    <w:rsid w:val="00F31986"/>
    <w:rsid w:val="00F324B4"/>
    <w:rsid w:val="00F3479E"/>
    <w:rsid w:val="00F34FB9"/>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C9E"/>
    <w:rsid w:val="00F66EE7"/>
    <w:rsid w:val="00F677E3"/>
    <w:rsid w:val="00F776E6"/>
    <w:rsid w:val="00F82E12"/>
    <w:rsid w:val="00F87819"/>
    <w:rsid w:val="00F907D8"/>
    <w:rsid w:val="00F91D1C"/>
    <w:rsid w:val="00F94614"/>
    <w:rsid w:val="00F954AF"/>
    <w:rsid w:val="00FA4AC1"/>
    <w:rsid w:val="00FB152F"/>
    <w:rsid w:val="00FB2388"/>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semiHidden/>
    <w:unhideWhenUsed/>
    <w:rsid w:val="004A668A"/>
    <w:rPr>
      <w:sz w:val="20"/>
      <w:szCs w:val="20"/>
    </w:rPr>
  </w:style>
  <w:style w:type="character" w:customStyle="1" w:styleId="CommentTextChar">
    <w:name w:val="Comment Text Char"/>
    <w:basedOn w:val="DefaultParagraphFont"/>
    <w:link w:val="CommentText"/>
    <w:uiPriority w:val="99"/>
    <w:semiHidden/>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nvironment.gov.au/water/rural-water/restoring-balance-murray-darling-basin/market-price-informati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F46B74A6-7309-41A9-B283-C596D64D580A}"/>
</file>

<file path=customXml/itemProps2.xml><?xml version="1.0" encoding="utf-8"?>
<ds:datastoreItem xmlns:ds="http://schemas.openxmlformats.org/officeDocument/2006/customXml" ds:itemID="{74E80137-49D4-4631-B36B-8F8A61B8DCB5}"/>
</file>

<file path=customXml/itemProps3.xml><?xml version="1.0" encoding="utf-8"?>
<ds:datastoreItem xmlns:ds="http://schemas.openxmlformats.org/officeDocument/2006/customXml" ds:itemID="{14533B32-2AB3-4839-A88E-2BAD1B2B4037}"/>
</file>

<file path=customXml/itemProps4.xml><?xml version="1.0" encoding="utf-8"?>
<ds:datastoreItem xmlns:ds="http://schemas.openxmlformats.org/officeDocument/2006/customXml" ds:itemID="{4FF81A51-D362-403A-9BD5-5B1FD6210B66}"/>
</file>

<file path=customXml/itemProps5.xml><?xml version="1.0" encoding="utf-8"?>
<ds:datastoreItem xmlns:ds="http://schemas.openxmlformats.org/officeDocument/2006/customXml" ds:itemID="{DB8135E4-30AC-4DD2-B5E9-448994F65F26}"/>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
  <cp:lastModifiedBy/>
  <cp:revision>1</cp:revision>
  <dcterms:created xsi:type="dcterms:W3CDTF">2016-02-12T03:10:00Z</dcterms:created>
  <dcterms:modified xsi:type="dcterms:W3CDTF">2016-02-12T03:10:00Z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