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2973F" w14:textId="38DE4F1A" w:rsidR="005927B0" w:rsidRPr="00320269" w:rsidRDefault="005927B0" w:rsidP="006915AE">
      <w:pPr>
        <w:pStyle w:val="Heading1"/>
      </w:pPr>
      <w:bookmarkStart w:id="0" w:name="OLE_LINK2"/>
      <w:bookmarkStart w:id="1" w:name="_GoBack"/>
      <w:bookmarkEnd w:id="1"/>
      <w:r w:rsidRPr="00320269">
        <w:t xml:space="preserve">Water </w:t>
      </w:r>
      <w:r w:rsidR="006B4042" w:rsidRPr="00320269">
        <w:t xml:space="preserve">entitlement market prices </w:t>
      </w:r>
      <w:r w:rsidR="006B4042">
        <w:t>across the Murray–</w:t>
      </w:r>
      <w:r w:rsidRPr="00320269">
        <w:t>Darling Basin</w:t>
      </w:r>
    </w:p>
    <w:p w14:paraId="0FC29740" w14:textId="3911C0D1" w:rsidR="005927B0" w:rsidRPr="008B3B01" w:rsidRDefault="005927B0" w:rsidP="004D5638">
      <w:pPr>
        <w:pStyle w:val="Heading2"/>
        <w:spacing w:before="120"/>
      </w:pPr>
      <w:r w:rsidRPr="008B3B01">
        <w:t xml:space="preserve">Summary </w:t>
      </w:r>
      <w:r w:rsidR="004B6C30">
        <w:t>r</w:t>
      </w:r>
      <w:r w:rsidRPr="008B3B01">
        <w:t xml:space="preserve">eport for </w:t>
      </w:r>
      <w:r w:rsidR="00396CD1">
        <w:t>June</w:t>
      </w:r>
      <w:r w:rsidRPr="008B3B01">
        <w:t xml:space="preserve"> </w:t>
      </w:r>
      <w:r w:rsidR="004B6C30">
        <w:t>q</w:t>
      </w:r>
      <w:r w:rsidR="008033A5" w:rsidRPr="006915AE">
        <w:t>uarter</w:t>
      </w:r>
      <w:r w:rsidR="008033A5">
        <w:t xml:space="preserve"> </w:t>
      </w:r>
      <w:r w:rsidRPr="008B3B01">
        <w:t>201</w:t>
      </w:r>
      <w:r w:rsidR="00794C1F">
        <w:t>6</w:t>
      </w:r>
    </w:p>
    <w:p w14:paraId="0FC29742" w14:textId="0A8669D4" w:rsidR="005927B0" w:rsidRDefault="005927B0" w:rsidP="00C17777">
      <w:r>
        <w:t xml:space="preserve">Marsden Jacob Associates has been engaged by the Australian Government Department of </w:t>
      </w:r>
      <w:r w:rsidR="007278A8">
        <w:t>Agriculture and Water Resources</w:t>
      </w:r>
      <w:r>
        <w:t xml:space="preserve"> to provide market price information on water entitlements in the Murray</w:t>
      </w:r>
      <w:r w:rsidR="006B4042">
        <w:t>–</w:t>
      </w:r>
      <w:r>
        <w:t>Darling Basin.</w:t>
      </w:r>
      <w:r w:rsidR="006B4042">
        <w:t xml:space="preserve"> </w:t>
      </w:r>
      <w:r w:rsidR="00C17777">
        <w:t xml:space="preserve">The following tables summarise the </w:t>
      </w:r>
      <w:r>
        <w:t>information in the full market price report</w:t>
      </w:r>
      <w:r w:rsidR="001A5027">
        <w:t>,</w:t>
      </w:r>
      <w:r>
        <w:t xml:space="preserve"> available on the </w:t>
      </w:r>
      <w:r w:rsidR="004D5638">
        <w:t>de</w:t>
      </w:r>
      <w:r>
        <w:t xml:space="preserve">partment’s </w:t>
      </w:r>
      <w:hyperlink r:id="rId14" w:history="1">
        <w:r w:rsidRPr="00FC3392">
          <w:rPr>
            <w:rStyle w:val="Hyperlink"/>
          </w:rPr>
          <w:t>website</w:t>
        </w:r>
      </w:hyperlink>
      <w: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1780"/>
        <w:gridCol w:w="2143"/>
        <w:gridCol w:w="2149"/>
        <w:gridCol w:w="2152"/>
        <w:gridCol w:w="2146"/>
        <w:gridCol w:w="2143"/>
      </w:tblGrid>
      <w:tr w:rsidR="003E0CFF" w:rsidRPr="0099660C" w14:paraId="6BEB34FD" w14:textId="77777777" w:rsidTr="007722A9">
        <w:trPr>
          <w:cantSplit/>
          <w:tblHeader/>
        </w:trPr>
        <w:tc>
          <w:tcPr>
            <w:tcW w:w="866" w:type="pct"/>
            <w:shd w:val="clear" w:color="auto" w:fill="DEEAF6" w:themeFill="accent1" w:themeFillTint="33"/>
            <w:vAlign w:val="bottom"/>
          </w:tcPr>
          <w:p w14:paraId="41DB3F31" w14:textId="1CA6A8A7" w:rsidR="003E0CFF" w:rsidRPr="0099660C" w:rsidRDefault="003E0CFF" w:rsidP="0099660C">
            <w:pPr>
              <w:pStyle w:val="TableText"/>
              <w:rPr>
                <w:b/>
              </w:rPr>
            </w:pPr>
            <w:r w:rsidRPr="0099660C">
              <w:rPr>
                <w:b/>
              </w:rPr>
              <w:t>Region</w:t>
            </w:r>
          </w:p>
        </w:tc>
        <w:tc>
          <w:tcPr>
            <w:tcW w:w="588" w:type="pct"/>
            <w:shd w:val="clear" w:color="auto" w:fill="DEEAF6" w:themeFill="accent1" w:themeFillTint="33"/>
            <w:vAlign w:val="bottom"/>
          </w:tcPr>
          <w:p w14:paraId="13141C96" w14:textId="40A0C1B2" w:rsidR="003E0CFF" w:rsidRPr="0099660C" w:rsidRDefault="003E0CFF" w:rsidP="0099660C">
            <w:pPr>
              <w:pStyle w:val="TableText"/>
              <w:rPr>
                <w:b/>
              </w:rPr>
            </w:pPr>
            <w:r w:rsidRPr="0099660C">
              <w:rPr>
                <w:b/>
              </w:rPr>
              <w:t>Entitlement type</w:t>
            </w:r>
          </w:p>
        </w:tc>
        <w:tc>
          <w:tcPr>
            <w:tcW w:w="708" w:type="pct"/>
            <w:shd w:val="clear" w:color="auto" w:fill="DEEAF6" w:themeFill="accent1" w:themeFillTint="33"/>
            <w:vAlign w:val="bottom"/>
          </w:tcPr>
          <w:p w14:paraId="05995B8C" w14:textId="6709F5D0" w:rsidR="003E0CFF" w:rsidRPr="0099660C" w:rsidRDefault="003E0CFF" w:rsidP="007722A9">
            <w:pPr>
              <w:pStyle w:val="TableText"/>
              <w:jc w:val="right"/>
              <w:rPr>
                <w:b/>
              </w:rPr>
            </w:pPr>
            <w:r w:rsidRPr="0099660C">
              <w:rPr>
                <w:b/>
              </w:rPr>
              <w:t>June quarter 2016 VWAP ($/ML)</w:t>
            </w:r>
          </w:p>
        </w:tc>
        <w:tc>
          <w:tcPr>
            <w:tcW w:w="710" w:type="pct"/>
            <w:shd w:val="clear" w:color="auto" w:fill="DEEAF6" w:themeFill="accent1" w:themeFillTint="33"/>
            <w:vAlign w:val="bottom"/>
          </w:tcPr>
          <w:p w14:paraId="6759AE0C" w14:textId="6BFE311B" w:rsidR="003E0CFF" w:rsidRPr="0099660C" w:rsidRDefault="003E0CFF" w:rsidP="007722A9">
            <w:pPr>
              <w:pStyle w:val="TableText"/>
              <w:jc w:val="right"/>
              <w:rPr>
                <w:b/>
              </w:rPr>
            </w:pPr>
            <w:r w:rsidRPr="00083C40">
              <w:rPr>
                <w:b/>
              </w:rPr>
              <w:t xml:space="preserve">June </w:t>
            </w:r>
            <w:r w:rsidRPr="0099660C">
              <w:rPr>
                <w:b/>
              </w:rPr>
              <w:t xml:space="preserve">quarter </w:t>
            </w:r>
            <w:r w:rsidRPr="00083C40">
              <w:rPr>
                <w:b/>
              </w:rPr>
              <w:t>2016</w:t>
            </w:r>
            <w:r w:rsidR="007722A9">
              <w:rPr>
                <w:b/>
              </w:rPr>
              <w:t xml:space="preserve"> </w:t>
            </w:r>
            <w:r w:rsidRPr="0099660C">
              <w:rPr>
                <w:b/>
              </w:rPr>
              <w:t>25th</w:t>
            </w:r>
            <w:r w:rsidR="007722A9">
              <w:rPr>
                <w:b/>
              </w:rPr>
              <w:t> </w:t>
            </w:r>
            <w:r w:rsidRPr="0099660C">
              <w:rPr>
                <w:b/>
              </w:rPr>
              <w:t>percentile ($/ML)</w:t>
            </w:r>
          </w:p>
        </w:tc>
        <w:tc>
          <w:tcPr>
            <w:tcW w:w="711" w:type="pct"/>
            <w:shd w:val="clear" w:color="auto" w:fill="DEEAF6" w:themeFill="accent1" w:themeFillTint="33"/>
            <w:vAlign w:val="bottom"/>
          </w:tcPr>
          <w:p w14:paraId="7676F84B" w14:textId="6B8C9C12" w:rsidR="003E0CFF" w:rsidRPr="0099660C" w:rsidRDefault="003E0CFF" w:rsidP="007722A9">
            <w:pPr>
              <w:pStyle w:val="TableText"/>
              <w:jc w:val="right"/>
              <w:rPr>
                <w:b/>
              </w:rPr>
            </w:pPr>
            <w:r w:rsidRPr="00083C40">
              <w:rPr>
                <w:b/>
              </w:rPr>
              <w:t xml:space="preserve">June </w:t>
            </w:r>
            <w:r w:rsidRPr="0099660C">
              <w:rPr>
                <w:b/>
              </w:rPr>
              <w:t xml:space="preserve">quarter </w:t>
            </w:r>
            <w:r w:rsidRPr="00083C40">
              <w:rPr>
                <w:b/>
              </w:rPr>
              <w:t>2016</w:t>
            </w:r>
            <w:r w:rsidR="007722A9">
              <w:rPr>
                <w:b/>
              </w:rPr>
              <w:t xml:space="preserve"> </w:t>
            </w:r>
            <w:r w:rsidRPr="0099660C">
              <w:rPr>
                <w:b/>
              </w:rPr>
              <w:t>75th</w:t>
            </w:r>
            <w:r w:rsidR="007722A9">
              <w:rPr>
                <w:b/>
              </w:rPr>
              <w:t> </w:t>
            </w:r>
            <w:r w:rsidRPr="0099660C">
              <w:rPr>
                <w:b/>
              </w:rPr>
              <w:t>percentile ($/ML)</w:t>
            </w:r>
          </w:p>
        </w:tc>
        <w:tc>
          <w:tcPr>
            <w:tcW w:w="709" w:type="pct"/>
            <w:shd w:val="clear" w:color="auto" w:fill="DEEAF6" w:themeFill="accent1" w:themeFillTint="33"/>
            <w:vAlign w:val="bottom"/>
          </w:tcPr>
          <w:p w14:paraId="5E3B571E" w14:textId="69147D05" w:rsidR="003E0CFF" w:rsidRPr="00083C40" w:rsidRDefault="003E0CFF" w:rsidP="007722A9">
            <w:pPr>
              <w:pStyle w:val="TableText"/>
              <w:jc w:val="right"/>
              <w:rPr>
                <w:b/>
              </w:rPr>
            </w:pPr>
            <w:r w:rsidRPr="00083C40">
              <w:rPr>
                <w:b/>
              </w:rPr>
              <w:t xml:space="preserve">June </w:t>
            </w:r>
            <w:r w:rsidRPr="0099660C">
              <w:rPr>
                <w:b/>
              </w:rPr>
              <w:t xml:space="preserve">quarter </w:t>
            </w:r>
            <w:r w:rsidRPr="00083C40">
              <w:rPr>
                <w:b/>
              </w:rPr>
              <w:t>2016</w:t>
            </w:r>
            <w:r w:rsidR="007722A9">
              <w:rPr>
                <w:b/>
              </w:rPr>
              <w:t xml:space="preserve"> no. </w:t>
            </w:r>
            <w:r>
              <w:rPr>
                <w:b/>
              </w:rPr>
              <w:t>of</w:t>
            </w:r>
            <w:r w:rsidR="007722A9">
              <w:rPr>
                <w:b/>
              </w:rPr>
              <w:t> </w:t>
            </w:r>
            <w:r>
              <w:rPr>
                <w:b/>
              </w:rPr>
              <w:t>trades</w:t>
            </w:r>
          </w:p>
        </w:tc>
        <w:tc>
          <w:tcPr>
            <w:tcW w:w="708" w:type="pct"/>
            <w:shd w:val="clear" w:color="auto" w:fill="DEEAF6" w:themeFill="accent1" w:themeFillTint="33"/>
            <w:vAlign w:val="bottom"/>
          </w:tcPr>
          <w:p w14:paraId="4D2051B4" w14:textId="7FC25B73" w:rsidR="003E0CFF" w:rsidRPr="0099660C" w:rsidRDefault="003E0CFF" w:rsidP="007722A9">
            <w:pPr>
              <w:pStyle w:val="TableText"/>
              <w:jc w:val="right"/>
              <w:rPr>
                <w:b/>
              </w:rPr>
            </w:pPr>
            <w:r w:rsidRPr="00083C40">
              <w:rPr>
                <w:b/>
              </w:rPr>
              <w:t>Broker buy/sell range ($/ML)</w:t>
            </w:r>
            <w:r w:rsidRPr="00733EB2">
              <w:rPr>
                <w:b/>
                <w:vertAlign w:val="superscript"/>
              </w:rPr>
              <w:t>a</w:t>
            </w:r>
          </w:p>
        </w:tc>
      </w:tr>
      <w:tr w:rsidR="007722A9" w:rsidRPr="00733EB2" w14:paraId="09950DBA" w14:textId="77777777" w:rsidTr="0019768A">
        <w:trPr>
          <w:cantSplit/>
        </w:trPr>
        <w:tc>
          <w:tcPr>
            <w:tcW w:w="1" w:type="pct"/>
            <w:gridSpan w:val="7"/>
            <w:shd w:val="clear" w:color="auto" w:fill="auto"/>
            <w:vAlign w:val="bottom"/>
          </w:tcPr>
          <w:p w14:paraId="0E666749" w14:textId="6A8D7120" w:rsidR="007722A9" w:rsidRPr="00733EB2" w:rsidRDefault="007722A9" w:rsidP="007722A9">
            <w:pPr>
              <w:pStyle w:val="TableText"/>
              <w:rPr>
                <w:rFonts w:cs="Arial"/>
                <w:b/>
                <w:sz w:val="16"/>
              </w:rPr>
            </w:pPr>
            <w:r w:rsidRPr="00733EB2">
              <w:rPr>
                <w:rFonts w:cs="Arial"/>
                <w:b/>
                <w:sz w:val="16"/>
              </w:rPr>
              <w:t>Southern Murray–Darling Basin</w:t>
            </w:r>
          </w:p>
        </w:tc>
      </w:tr>
      <w:tr w:rsidR="003E0CFF" w:rsidRPr="00535408" w14:paraId="0FC29758" w14:textId="77777777" w:rsidTr="007722A9">
        <w:trPr>
          <w:cantSplit/>
        </w:trPr>
        <w:tc>
          <w:tcPr>
            <w:tcW w:w="866" w:type="pct"/>
            <w:shd w:val="clear" w:color="auto" w:fill="auto"/>
            <w:vAlign w:val="bottom"/>
          </w:tcPr>
          <w:p w14:paraId="0FC29752" w14:textId="77777777" w:rsidR="003E0CFF" w:rsidRPr="00535408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535408">
              <w:rPr>
                <w:rFonts w:cs="Arial"/>
                <w:sz w:val="16"/>
              </w:rPr>
              <w:t>SA Murray</w:t>
            </w:r>
          </w:p>
        </w:tc>
        <w:tc>
          <w:tcPr>
            <w:tcW w:w="588" w:type="pct"/>
            <w:shd w:val="clear" w:color="auto" w:fill="auto"/>
            <w:vAlign w:val="bottom"/>
          </w:tcPr>
          <w:p w14:paraId="0FC29753" w14:textId="77777777" w:rsidR="003E0CFF" w:rsidRPr="00535408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535408">
              <w:rPr>
                <w:rFonts w:cs="Arial"/>
                <w:sz w:val="16"/>
              </w:rPr>
              <w:t>Class 3a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54" w14:textId="15B9325E" w:rsidR="003E0CFF" w:rsidRPr="000362FF" w:rsidRDefault="003E0CFF" w:rsidP="0065629D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</w:t>
            </w:r>
            <w:r>
              <w:rPr>
                <w:rFonts w:cs="Arial"/>
                <w:sz w:val="16"/>
              </w:rPr>
              <w:t> </w:t>
            </w:r>
            <w:r w:rsidR="0065629D">
              <w:rPr>
                <w:rFonts w:cs="Arial"/>
                <w:sz w:val="16"/>
              </w:rPr>
              <w:t>808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FC29755" w14:textId="7AAC05AF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900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0FC29756" w14:textId="418D9F3E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3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000</w:t>
            </w:r>
          </w:p>
        </w:tc>
        <w:tc>
          <w:tcPr>
            <w:tcW w:w="709" w:type="pct"/>
            <w:vAlign w:val="bottom"/>
          </w:tcPr>
          <w:p w14:paraId="03DC1C9A" w14:textId="7388CA63" w:rsidR="003E0C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29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57" w14:textId="155BF53F" w:rsidR="003E0CFF" w:rsidRPr="00E918E0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2 800–3 200</w:t>
            </w:r>
          </w:p>
        </w:tc>
      </w:tr>
      <w:tr w:rsidR="003E0CFF" w:rsidRPr="00535408" w14:paraId="0FC2975F" w14:textId="77777777" w:rsidTr="007722A9">
        <w:trPr>
          <w:cantSplit/>
        </w:trPr>
        <w:tc>
          <w:tcPr>
            <w:tcW w:w="866" w:type="pct"/>
            <w:shd w:val="clear" w:color="auto" w:fill="auto"/>
            <w:vAlign w:val="bottom"/>
          </w:tcPr>
          <w:p w14:paraId="0FC29759" w14:textId="164C2773" w:rsidR="003E0CFF" w:rsidRPr="00535408" w:rsidRDefault="003E0CFF" w:rsidP="00083C40">
            <w:pPr>
              <w:pStyle w:val="TableTex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Vic.</w:t>
            </w:r>
            <w:r w:rsidRPr="00535408">
              <w:rPr>
                <w:rFonts w:cs="Arial"/>
                <w:sz w:val="16"/>
              </w:rPr>
              <w:t xml:space="preserve"> Murray above Barmah Choke</w:t>
            </w:r>
          </w:p>
        </w:tc>
        <w:tc>
          <w:tcPr>
            <w:tcW w:w="588" w:type="pct"/>
            <w:shd w:val="clear" w:color="auto" w:fill="auto"/>
            <w:vAlign w:val="bottom"/>
          </w:tcPr>
          <w:p w14:paraId="0FC2975A" w14:textId="1B3CE203" w:rsidR="003E0CFF" w:rsidRPr="00535408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535408">
              <w:rPr>
                <w:rFonts w:cs="Arial"/>
                <w:sz w:val="16"/>
              </w:rPr>
              <w:t xml:space="preserve">High </w:t>
            </w:r>
            <w:r>
              <w:rPr>
                <w:rFonts w:cs="Arial"/>
                <w:sz w:val="16"/>
              </w:rPr>
              <w:t>reliability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5B" w14:textId="7F63A1C0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559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FC2975C" w14:textId="7664C437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225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0FC2975D" w14:textId="70F3E642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600</w:t>
            </w:r>
          </w:p>
        </w:tc>
        <w:tc>
          <w:tcPr>
            <w:tcW w:w="709" w:type="pct"/>
            <w:vAlign w:val="bottom"/>
          </w:tcPr>
          <w:p w14:paraId="307826B0" w14:textId="61C92AAE" w:rsidR="003E0C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30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5E" w14:textId="2E41E197" w:rsidR="003E0CFF" w:rsidRPr="00E918E0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 listings</w:t>
            </w:r>
          </w:p>
        </w:tc>
      </w:tr>
      <w:tr w:rsidR="003E0CFF" w:rsidRPr="00535408" w14:paraId="0FC29766" w14:textId="77777777" w:rsidTr="007722A9">
        <w:trPr>
          <w:cantSplit/>
        </w:trPr>
        <w:tc>
          <w:tcPr>
            <w:tcW w:w="866" w:type="pct"/>
            <w:shd w:val="clear" w:color="auto" w:fill="auto"/>
            <w:vAlign w:val="bottom"/>
          </w:tcPr>
          <w:p w14:paraId="0FC29760" w14:textId="3D223D76" w:rsidR="003E0CFF" w:rsidRPr="00535408" w:rsidRDefault="003E0CFF" w:rsidP="00083C40">
            <w:pPr>
              <w:pStyle w:val="TableTex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Vic.</w:t>
            </w:r>
            <w:r w:rsidRPr="00535408">
              <w:rPr>
                <w:rFonts w:cs="Arial"/>
                <w:sz w:val="16"/>
              </w:rPr>
              <w:t xml:space="preserve"> Murray above Barmah Choke</w:t>
            </w:r>
          </w:p>
        </w:tc>
        <w:tc>
          <w:tcPr>
            <w:tcW w:w="588" w:type="pct"/>
            <w:shd w:val="clear" w:color="auto" w:fill="auto"/>
            <w:vAlign w:val="bottom"/>
          </w:tcPr>
          <w:p w14:paraId="0FC29761" w14:textId="57909CB3" w:rsidR="003E0CFF" w:rsidRPr="00535408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535408">
              <w:rPr>
                <w:rFonts w:cs="Arial"/>
                <w:sz w:val="16"/>
              </w:rPr>
              <w:t xml:space="preserve">Low </w:t>
            </w:r>
            <w:r>
              <w:rPr>
                <w:rFonts w:cs="Arial"/>
                <w:sz w:val="16"/>
              </w:rPr>
              <w:t>reliability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62" w14:textId="019B8B04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214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FC29763" w14:textId="312962E9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200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0FC29764" w14:textId="583B6347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220</w:t>
            </w:r>
          </w:p>
        </w:tc>
        <w:tc>
          <w:tcPr>
            <w:tcW w:w="709" w:type="pct"/>
            <w:vAlign w:val="bottom"/>
          </w:tcPr>
          <w:p w14:paraId="64B4CC73" w14:textId="7D7732A5" w:rsidR="003E0C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13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65" w14:textId="0C70F6B2" w:rsidR="003E0CFF" w:rsidRPr="00E92BDB" w:rsidRDefault="003E0CFF" w:rsidP="007722A9">
            <w:pPr>
              <w:pStyle w:val="TableText"/>
              <w:jc w:val="right"/>
              <w:rPr>
                <w:rFonts w:cs="Arial"/>
                <w:sz w:val="16"/>
                <w:highlight w:val="yellow"/>
              </w:rPr>
            </w:pPr>
            <w:r>
              <w:rPr>
                <w:rFonts w:cs="Arial"/>
                <w:sz w:val="16"/>
              </w:rPr>
              <w:t>215</w:t>
            </w:r>
          </w:p>
        </w:tc>
      </w:tr>
      <w:tr w:rsidR="003E0CFF" w:rsidRPr="00535408" w14:paraId="0FC2976D" w14:textId="77777777" w:rsidTr="007722A9">
        <w:trPr>
          <w:cantSplit/>
        </w:trPr>
        <w:tc>
          <w:tcPr>
            <w:tcW w:w="866" w:type="pct"/>
            <w:shd w:val="clear" w:color="auto" w:fill="auto"/>
            <w:vAlign w:val="bottom"/>
          </w:tcPr>
          <w:p w14:paraId="0FC29767" w14:textId="48B0660A" w:rsidR="003E0CFF" w:rsidRPr="00535408" w:rsidRDefault="003E0CFF" w:rsidP="00083C40">
            <w:pPr>
              <w:pStyle w:val="TableTex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Vic. </w:t>
            </w:r>
            <w:r w:rsidRPr="00535408">
              <w:rPr>
                <w:rFonts w:cs="Arial"/>
                <w:sz w:val="16"/>
              </w:rPr>
              <w:t>Murray below Barmah Choke</w:t>
            </w:r>
          </w:p>
        </w:tc>
        <w:tc>
          <w:tcPr>
            <w:tcW w:w="588" w:type="pct"/>
            <w:shd w:val="clear" w:color="auto" w:fill="auto"/>
            <w:vAlign w:val="bottom"/>
          </w:tcPr>
          <w:p w14:paraId="0FC29768" w14:textId="43C7AEF8" w:rsidR="003E0CFF" w:rsidRPr="00535408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535408">
              <w:rPr>
                <w:rFonts w:cs="Arial"/>
                <w:sz w:val="16"/>
              </w:rPr>
              <w:t xml:space="preserve">High </w:t>
            </w:r>
            <w:r>
              <w:rPr>
                <w:rFonts w:cs="Arial"/>
                <w:sz w:val="16"/>
              </w:rPr>
              <w:t>reliability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69" w14:textId="60B301C9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914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FC2976A" w14:textId="66E81D39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500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0FC2976B" w14:textId="11F6E002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3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000</w:t>
            </w:r>
          </w:p>
        </w:tc>
        <w:tc>
          <w:tcPr>
            <w:tcW w:w="709" w:type="pct"/>
            <w:vAlign w:val="bottom"/>
          </w:tcPr>
          <w:p w14:paraId="2F836C42" w14:textId="60DED12F" w:rsidR="003E0CFF" w:rsidRPr="00E918E0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164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6C" w14:textId="0714440D" w:rsidR="003E0CFF" w:rsidRPr="00E918E0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E918E0">
              <w:rPr>
                <w:rFonts w:cs="Arial"/>
                <w:sz w:val="16"/>
              </w:rPr>
              <w:t>2</w:t>
            </w:r>
            <w:r>
              <w:rPr>
                <w:rFonts w:cs="Arial"/>
                <w:sz w:val="16"/>
              </w:rPr>
              <w:t> </w:t>
            </w:r>
            <w:r w:rsidRPr="00E918E0">
              <w:rPr>
                <w:rFonts w:cs="Arial"/>
                <w:sz w:val="16"/>
              </w:rPr>
              <w:t>500</w:t>
            </w:r>
            <w:r>
              <w:rPr>
                <w:rFonts w:cs="Arial"/>
                <w:sz w:val="16"/>
              </w:rPr>
              <w:t>–</w:t>
            </w:r>
            <w:r w:rsidRPr="00E918E0">
              <w:rPr>
                <w:rFonts w:cs="Arial"/>
                <w:sz w:val="16"/>
              </w:rPr>
              <w:t>3</w:t>
            </w:r>
            <w:r>
              <w:rPr>
                <w:rFonts w:cs="Arial"/>
                <w:sz w:val="16"/>
              </w:rPr>
              <w:t> </w:t>
            </w:r>
            <w:r w:rsidRPr="00E918E0">
              <w:rPr>
                <w:rFonts w:cs="Arial"/>
                <w:sz w:val="16"/>
              </w:rPr>
              <w:t>200</w:t>
            </w:r>
          </w:p>
        </w:tc>
      </w:tr>
      <w:tr w:rsidR="003E0CFF" w:rsidRPr="00535408" w14:paraId="0FC29774" w14:textId="77777777" w:rsidTr="007722A9">
        <w:trPr>
          <w:cantSplit/>
        </w:trPr>
        <w:tc>
          <w:tcPr>
            <w:tcW w:w="866" w:type="pct"/>
            <w:shd w:val="clear" w:color="auto" w:fill="auto"/>
            <w:vAlign w:val="bottom"/>
          </w:tcPr>
          <w:p w14:paraId="0FC2976E" w14:textId="782B60B2" w:rsidR="003E0CFF" w:rsidRPr="00535408" w:rsidRDefault="003E0CFF" w:rsidP="00083C40">
            <w:pPr>
              <w:pStyle w:val="TableTex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Vic. </w:t>
            </w:r>
            <w:r w:rsidRPr="00535408">
              <w:rPr>
                <w:rFonts w:cs="Arial"/>
                <w:sz w:val="16"/>
              </w:rPr>
              <w:t>Murray below Barmah Choke</w:t>
            </w:r>
          </w:p>
        </w:tc>
        <w:tc>
          <w:tcPr>
            <w:tcW w:w="588" w:type="pct"/>
            <w:shd w:val="clear" w:color="auto" w:fill="auto"/>
            <w:vAlign w:val="bottom"/>
          </w:tcPr>
          <w:p w14:paraId="0FC2976F" w14:textId="5B50D6EC" w:rsidR="003E0CFF" w:rsidRPr="00535408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535408">
              <w:rPr>
                <w:rFonts w:cs="Arial"/>
                <w:sz w:val="16"/>
              </w:rPr>
              <w:t xml:space="preserve">Low </w:t>
            </w:r>
            <w:r>
              <w:rPr>
                <w:rFonts w:cs="Arial"/>
                <w:sz w:val="16"/>
              </w:rPr>
              <w:t>reliability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70" w14:textId="22651CBC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274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FC29771" w14:textId="2D3F3B0F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235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0FC29772" w14:textId="66228033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276</w:t>
            </w:r>
          </w:p>
        </w:tc>
        <w:tc>
          <w:tcPr>
            <w:tcW w:w="709" w:type="pct"/>
            <w:vAlign w:val="bottom"/>
          </w:tcPr>
          <w:p w14:paraId="38E4B591" w14:textId="5F0BF1D5" w:rsidR="003E0CFF" w:rsidRPr="00E918E0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20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73" w14:textId="5FDCE908" w:rsidR="003E0CFF" w:rsidRPr="00E918E0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E918E0">
              <w:rPr>
                <w:rFonts w:cs="Arial"/>
                <w:sz w:val="16"/>
              </w:rPr>
              <w:t>230</w:t>
            </w:r>
            <w:r>
              <w:rPr>
                <w:rFonts w:cs="Arial"/>
                <w:sz w:val="16"/>
              </w:rPr>
              <w:t>–</w:t>
            </w:r>
            <w:r w:rsidRPr="00E918E0">
              <w:rPr>
                <w:rFonts w:cs="Arial"/>
                <w:sz w:val="16"/>
              </w:rPr>
              <w:t>300</w:t>
            </w:r>
          </w:p>
        </w:tc>
      </w:tr>
      <w:tr w:rsidR="003E0CFF" w:rsidRPr="00535408" w14:paraId="0FC2977B" w14:textId="77777777" w:rsidTr="007722A9">
        <w:trPr>
          <w:cantSplit/>
        </w:trPr>
        <w:tc>
          <w:tcPr>
            <w:tcW w:w="866" w:type="pct"/>
            <w:shd w:val="clear" w:color="auto" w:fill="auto"/>
            <w:vAlign w:val="bottom"/>
          </w:tcPr>
          <w:p w14:paraId="0FC29775" w14:textId="77777777" w:rsidR="003E0CFF" w:rsidRPr="00535408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535408">
              <w:rPr>
                <w:rFonts w:cs="Arial"/>
                <w:sz w:val="16"/>
              </w:rPr>
              <w:t>Goulburn</w:t>
            </w:r>
          </w:p>
        </w:tc>
        <w:tc>
          <w:tcPr>
            <w:tcW w:w="588" w:type="pct"/>
            <w:shd w:val="clear" w:color="auto" w:fill="auto"/>
            <w:vAlign w:val="bottom"/>
          </w:tcPr>
          <w:p w14:paraId="0FC29776" w14:textId="2ECDF3FF" w:rsidR="003E0CFF" w:rsidRPr="00535408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535408">
              <w:rPr>
                <w:rFonts w:cs="Arial"/>
                <w:sz w:val="16"/>
              </w:rPr>
              <w:t xml:space="preserve">High </w:t>
            </w:r>
            <w:r>
              <w:rPr>
                <w:rFonts w:cs="Arial"/>
                <w:sz w:val="16"/>
              </w:rPr>
              <w:t>reliability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77" w14:textId="2995F6C9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766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FC29778" w14:textId="0D126B4D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400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0FC29779" w14:textId="63EADB1C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800</w:t>
            </w:r>
          </w:p>
        </w:tc>
        <w:tc>
          <w:tcPr>
            <w:tcW w:w="709" w:type="pct"/>
            <w:vAlign w:val="bottom"/>
          </w:tcPr>
          <w:p w14:paraId="29263744" w14:textId="68495896" w:rsidR="003E0C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182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7A" w14:textId="39165777" w:rsidR="003E0CFF" w:rsidRPr="00E918E0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2 200–2 750</w:t>
            </w:r>
          </w:p>
        </w:tc>
      </w:tr>
      <w:tr w:rsidR="003E0CFF" w:rsidRPr="00535408" w14:paraId="0FC29782" w14:textId="77777777" w:rsidTr="007722A9">
        <w:trPr>
          <w:cantSplit/>
        </w:trPr>
        <w:tc>
          <w:tcPr>
            <w:tcW w:w="866" w:type="pct"/>
            <w:shd w:val="clear" w:color="auto" w:fill="auto"/>
            <w:vAlign w:val="bottom"/>
          </w:tcPr>
          <w:p w14:paraId="0FC2977C" w14:textId="77777777" w:rsidR="003E0CFF" w:rsidRPr="00535408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535408">
              <w:rPr>
                <w:rFonts w:cs="Arial"/>
                <w:sz w:val="16"/>
              </w:rPr>
              <w:t>Goulburn</w:t>
            </w:r>
          </w:p>
        </w:tc>
        <w:tc>
          <w:tcPr>
            <w:tcW w:w="588" w:type="pct"/>
            <w:shd w:val="clear" w:color="auto" w:fill="auto"/>
            <w:vAlign w:val="bottom"/>
          </w:tcPr>
          <w:p w14:paraId="0FC2977D" w14:textId="29CD9901" w:rsidR="003E0CFF" w:rsidRPr="00535408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535408">
              <w:rPr>
                <w:rFonts w:cs="Arial"/>
                <w:sz w:val="16"/>
              </w:rPr>
              <w:t xml:space="preserve">Low </w:t>
            </w:r>
            <w:r>
              <w:rPr>
                <w:rFonts w:cs="Arial"/>
                <w:sz w:val="16"/>
              </w:rPr>
              <w:t>reliability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7E" w14:textId="194B524E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220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FC2977F" w14:textId="5984B8B0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200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0FC29780" w14:textId="574BD835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230</w:t>
            </w:r>
          </w:p>
        </w:tc>
        <w:tc>
          <w:tcPr>
            <w:tcW w:w="709" w:type="pct"/>
            <w:vAlign w:val="bottom"/>
          </w:tcPr>
          <w:p w14:paraId="67F82C73" w14:textId="60D85505" w:rsidR="003E0C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68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81" w14:textId="3A22E6AC" w:rsidR="003E0CFF" w:rsidRPr="00E918E0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180–</w:t>
            </w:r>
            <w:r w:rsidRPr="00E918E0">
              <w:rPr>
                <w:rFonts w:cs="Arial"/>
                <w:sz w:val="16"/>
              </w:rPr>
              <w:t>2</w:t>
            </w:r>
            <w:r>
              <w:rPr>
                <w:rFonts w:cs="Arial"/>
                <w:sz w:val="16"/>
              </w:rPr>
              <w:t>35</w:t>
            </w:r>
          </w:p>
        </w:tc>
      </w:tr>
      <w:tr w:rsidR="003E0CFF" w:rsidRPr="00535408" w14:paraId="0FC29789" w14:textId="77777777" w:rsidTr="007722A9">
        <w:trPr>
          <w:cantSplit/>
        </w:trPr>
        <w:tc>
          <w:tcPr>
            <w:tcW w:w="866" w:type="pct"/>
            <w:shd w:val="clear" w:color="auto" w:fill="auto"/>
            <w:vAlign w:val="bottom"/>
          </w:tcPr>
          <w:p w14:paraId="0FC29783" w14:textId="77777777" w:rsidR="003E0CFF" w:rsidRPr="00535408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535408">
              <w:rPr>
                <w:rFonts w:cs="Arial"/>
                <w:sz w:val="16"/>
              </w:rPr>
              <w:t>Campaspe</w:t>
            </w:r>
          </w:p>
        </w:tc>
        <w:tc>
          <w:tcPr>
            <w:tcW w:w="588" w:type="pct"/>
            <w:shd w:val="clear" w:color="auto" w:fill="auto"/>
            <w:vAlign w:val="bottom"/>
          </w:tcPr>
          <w:p w14:paraId="0FC29784" w14:textId="1C448AB3" w:rsidR="003E0CFF" w:rsidRPr="00535408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535408">
              <w:rPr>
                <w:rFonts w:cs="Arial"/>
                <w:sz w:val="16"/>
              </w:rPr>
              <w:t xml:space="preserve">High </w:t>
            </w:r>
            <w:r>
              <w:rPr>
                <w:rFonts w:cs="Arial"/>
                <w:sz w:val="16"/>
              </w:rPr>
              <w:t>reliability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85" w14:textId="13163AF0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365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FC29786" w14:textId="7127FE2A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400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0FC29787" w14:textId="1D6EA63C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2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437</w:t>
            </w:r>
          </w:p>
        </w:tc>
        <w:tc>
          <w:tcPr>
            <w:tcW w:w="709" w:type="pct"/>
            <w:vAlign w:val="bottom"/>
          </w:tcPr>
          <w:p w14:paraId="1BF0DBC7" w14:textId="66429B8C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7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88" w14:textId="36CE1B0F" w:rsidR="003E0CFF" w:rsidRPr="00E918E0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No listings</w:t>
            </w:r>
          </w:p>
        </w:tc>
      </w:tr>
      <w:tr w:rsidR="003E0CFF" w:rsidRPr="00535408" w14:paraId="0FC29790" w14:textId="77777777" w:rsidTr="007722A9">
        <w:trPr>
          <w:cantSplit/>
        </w:trPr>
        <w:tc>
          <w:tcPr>
            <w:tcW w:w="866" w:type="pct"/>
            <w:shd w:val="clear" w:color="auto" w:fill="auto"/>
            <w:vAlign w:val="bottom"/>
          </w:tcPr>
          <w:p w14:paraId="0FC2978A" w14:textId="77777777" w:rsidR="003E0CFF" w:rsidRPr="00535408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535408">
              <w:rPr>
                <w:rFonts w:cs="Arial"/>
                <w:sz w:val="16"/>
              </w:rPr>
              <w:t>Loddon</w:t>
            </w:r>
          </w:p>
        </w:tc>
        <w:tc>
          <w:tcPr>
            <w:tcW w:w="588" w:type="pct"/>
            <w:shd w:val="clear" w:color="auto" w:fill="auto"/>
            <w:vAlign w:val="bottom"/>
          </w:tcPr>
          <w:p w14:paraId="0FC2978B" w14:textId="1AD26EDA" w:rsidR="003E0CFF" w:rsidRPr="00535408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535408">
              <w:rPr>
                <w:rFonts w:cs="Arial"/>
                <w:sz w:val="16"/>
              </w:rPr>
              <w:t xml:space="preserve">High </w:t>
            </w:r>
            <w:r>
              <w:rPr>
                <w:rFonts w:cs="Arial"/>
                <w:sz w:val="16"/>
              </w:rPr>
              <w:t>reliability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8C" w14:textId="5A32C29E" w:rsidR="003E0CFF" w:rsidRPr="00E92BDB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1 505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FC2978D" w14:textId="60DA274F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1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513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0FC2978E" w14:textId="7572DFFA" w:rsidR="003E0CFF" w:rsidRPr="000362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1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658</w:t>
            </w:r>
          </w:p>
        </w:tc>
        <w:tc>
          <w:tcPr>
            <w:tcW w:w="709" w:type="pct"/>
            <w:vAlign w:val="bottom"/>
          </w:tcPr>
          <w:p w14:paraId="72C07D3B" w14:textId="245637EE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3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8F" w14:textId="022C2628" w:rsidR="003E0CFF" w:rsidRPr="00E92BDB" w:rsidRDefault="003E0CFF" w:rsidP="007722A9">
            <w:pPr>
              <w:pStyle w:val="TableText"/>
              <w:jc w:val="right"/>
              <w:rPr>
                <w:rFonts w:cs="Arial"/>
                <w:sz w:val="16"/>
                <w:highlight w:val="yellow"/>
              </w:rPr>
            </w:pPr>
            <w:r w:rsidRPr="003B16DA">
              <w:rPr>
                <w:rFonts w:cs="Arial"/>
                <w:sz w:val="16"/>
              </w:rPr>
              <w:t>No listings</w:t>
            </w:r>
          </w:p>
        </w:tc>
      </w:tr>
      <w:tr w:rsidR="003E0CFF" w:rsidRPr="003B16DA" w14:paraId="0FC29797" w14:textId="77777777" w:rsidTr="007722A9">
        <w:trPr>
          <w:cantSplit/>
        </w:trPr>
        <w:tc>
          <w:tcPr>
            <w:tcW w:w="866" w:type="pct"/>
            <w:shd w:val="clear" w:color="auto" w:fill="auto"/>
            <w:vAlign w:val="bottom"/>
          </w:tcPr>
          <w:p w14:paraId="0FC29791" w14:textId="77777777" w:rsidR="003E0CFF" w:rsidRPr="003B16DA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NSW Murray</w:t>
            </w:r>
          </w:p>
        </w:tc>
        <w:tc>
          <w:tcPr>
            <w:tcW w:w="588" w:type="pct"/>
            <w:shd w:val="clear" w:color="auto" w:fill="auto"/>
            <w:vAlign w:val="bottom"/>
          </w:tcPr>
          <w:p w14:paraId="0FC29792" w14:textId="36DE0FCC" w:rsidR="003E0CFF" w:rsidRPr="003B16DA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 xml:space="preserve">General </w:t>
            </w:r>
            <w:r>
              <w:rPr>
                <w:rFonts w:cs="Arial"/>
                <w:sz w:val="16"/>
              </w:rPr>
              <w:t>security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93" w14:textId="027DB683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1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087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FC29794" w14:textId="4C3E22C0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1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000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0FC29795" w14:textId="2FAE9DF4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1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278</w:t>
            </w:r>
          </w:p>
        </w:tc>
        <w:tc>
          <w:tcPr>
            <w:tcW w:w="709" w:type="pct"/>
            <w:vAlign w:val="bottom"/>
          </w:tcPr>
          <w:p w14:paraId="28CB517F" w14:textId="1AAC78C9" w:rsidR="003E0C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19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96" w14:textId="5D91432F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1 175–1 300</w:t>
            </w:r>
          </w:p>
        </w:tc>
      </w:tr>
      <w:tr w:rsidR="003E0CFF" w:rsidRPr="003B16DA" w14:paraId="0FC2979E" w14:textId="77777777" w:rsidTr="007722A9">
        <w:trPr>
          <w:cantSplit/>
        </w:trPr>
        <w:tc>
          <w:tcPr>
            <w:tcW w:w="866" w:type="pct"/>
            <w:shd w:val="clear" w:color="auto" w:fill="auto"/>
            <w:vAlign w:val="bottom"/>
          </w:tcPr>
          <w:p w14:paraId="0FC29798" w14:textId="77777777" w:rsidR="003E0CFF" w:rsidRPr="003B16DA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NSW Murray</w:t>
            </w:r>
          </w:p>
        </w:tc>
        <w:tc>
          <w:tcPr>
            <w:tcW w:w="588" w:type="pct"/>
            <w:shd w:val="clear" w:color="auto" w:fill="auto"/>
            <w:vAlign w:val="bottom"/>
          </w:tcPr>
          <w:p w14:paraId="0FC29799" w14:textId="2317B883" w:rsidR="003E0CFF" w:rsidRPr="003B16DA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 xml:space="preserve">High </w:t>
            </w:r>
            <w:r>
              <w:rPr>
                <w:rFonts w:cs="Arial"/>
                <w:sz w:val="16"/>
              </w:rPr>
              <w:t>security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9A" w14:textId="68BD7EFC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3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155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FC2979B" w14:textId="7C09C82A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3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000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0FC2979C" w14:textId="1642A465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3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320</w:t>
            </w:r>
          </w:p>
        </w:tc>
        <w:tc>
          <w:tcPr>
            <w:tcW w:w="709" w:type="pct"/>
            <w:vAlign w:val="bottom"/>
          </w:tcPr>
          <w:p w14:paraId="3D6F7A1D" w14:textId="65A269E5" w:rsidR="003E0CFF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20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9D" w14:textId="1B022C70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3 120–3 81</w:t>
            </w:r>
            <w:r w:rsidRPr="003B16DA">
              <w:rPr>
                <w:rFonts w:cs="Arial"/>
                <w:sz w:val="16"/>
              </w:rPr>
              <w:t>0</w:t>
            </w:r>
          </w:p>
        </w:tc>
      </w:tr>
      <w:tr w:rsidR="003E0CFF" w:rsidRPr="003B16DA" w14:paraId="0FC297A5" w14:textId="77777777" w:rsidTr="007722A9">
        <w:trPr>
          <w:cantSplit/>
        </w:trPr>
        <w:tc>
          <w:tcPr>
            <w:tcW w:w="866" w:type="pct"/>
            <w:shd w:val="clear" w:color="auto" w:fill="auto"/>
            <w:vAlign w:val="bottom"/>
          </w:tcPr>
          <w:p w14:paraId="0FC2979F" w14:textId="77777777" w:rsidR="003E0CFF" w:rsidRPr="003B16DA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NSW Murray Irrigation Limited</w:t>
            </w:r>
          </w:p>
        </w:tc>
        <w:tc>
          <w:tcPr>
            <w:tcW w:w="588" w:type="pct"/>
            <w:shd w:val="clear" w:color="auto" w:fill="auto"/>
            <w:vAlign w:val="bottom"/>
          </w:tcPr>
          <w:p w14:paraId="0FC297A0" w14:textId="1BBB5ACA" w:rsidR="003E0CFF" w:rsidRPr="003B16DA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 xml:space="preserve">General </w:t>
            </w:r>
            <w:r>
              <w:rPr>
                <w:rFonts w:cs="Arial"/>
                <w:sz w:val="16"/>
              </w:rPr>
              <w:t>security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A1" w14:textId="5C50F45D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1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109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FC297A2" w14:textId="1D70C294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1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069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0FC297A3" w14:textId="6A260629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1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219</w:t>
            </w:r>
          </w:p>
        </w:tc>
        <w:tc>
          <w:tcPr>
            <w:tcW w:w="709" w:type="pct"/>
            <w:vAlign w:val="bottom"/>
          </w:tcPr>
          <w:p w14:paraId="0A8DA903" w14:textId="22C55CD8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30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A4" w14:textId="78AC7190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No listings</w:t>
            </w:r>
          </w:p>
        </w:tc>
      </w:tr>
      <w:tr w:rsidR="003E0CFF" w:rsidRPr="003B16DA" w14:paraId="0FC297AC" w14:textId="77777777" w:rsidTr="007722A9">
        <w:trPr>
          <w:cantSplit/>
        </w:trPr>
        <w:tc>
          <w:tcPr>
            <w:tcW w:w="866" w:type="pct"/>
            <w:shd w:val="clear" w:color="auto" w:fill="auto"/>
            <w:vAlign w:val="bottom"/>
          </w:tcPr>
          <w:p w14:paraId="0FC297A6" w14:textId="77777777" w:rsidR="003E0CFF" w:rsidRPr="003B16DA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Murrumbidgee</w:t>
            </w:r>
          </w:p>
        </w:tc>
        <w:tc>
          <w:tcPr>
            <w:tcW w:w="588" w:type="pct"/>
            <w:shd w:val="clear" w:color="auto" w:fill="auto"/>
            <w:vAlign w:val="bottom"/>
          </w:tcPr>
          <w:p w14:paraId="0FC297A7" w14:textId="18172C3E" w:rsidR="003E0CFF" w:rsidRPr="003B16DA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 xml:space="preserve">General </w:t>
            </w:r>
            <w:r>
              <w:rPr>
                <w:rFonts w:cs="Arial"/>
                <w:sz w:val="16"/>
              </w:rPr>
              <w:t>security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A8" w14:textId="03F25E7B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1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452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FC297A9" w14:textId="55C32727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1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415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0FC297AA" w14:textId="4EC76C93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1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490</w:t>
            </w:r>
          </w:p>
        </w:tc>
        <w:tc>
          <w:tcPr>
            <w:tcW w:w="709" w:type="pct"/>
            <w:vAlign w:val="bottom"/>
          </w:tcPr>
          <w:p w14:paraId="58470E73" w14:textId="08879E78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11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AB" w14:textId="779989C4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1</w:t>
            </w:r>
            <w:r>
              <w:rPr>
                <w:rFonts w:cs="Arial"/>
                <w:sz w:val="16"/>
              </w:rPr>
              <w:t> 400</w:t>
            </w:r>
          </w:p>
        </w:tc>
      </w:tr>
      <w:tr w:rsidR="003E0CFF" w:rsidRPr="003B16DA" w14:paraId="0FC297B3" w14:textId="77777777" w:rsidTr="007722A9">
        <w:trPr>
          <w:cantSplit/>
        </w:trPr>
        <w:tc>
          <w:tcPr>
            <w:tcW w:w="866" w:type="pct"/>
            <w:shd w:val="clear" w:color="auto" w:fill="auto"/>
            <w:vAlign w:val="bottom"/>
          </w:tcPr>
          <w:p w14:paraId="0FC297AD" w14:textId="77777777" w:rsidR="003E0CFF" w:rsidRPr="003B16DA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Murrumbidgee</w:t>
            </w:r>
          </w:p>
        </w:tc>
        <w:tc>
          <w:tcPr>
            <w:tcW w:w="588" w:type="pct"/>
            <w:shd w:val="clear" w:color="auto" w:fill="auto"/>
            <w:vAlign w:val="bottom"/>
          </w:tcPr>
          <w:p w14:paraId="0FC297AE" w14:textId="1273C0C2" w:rsidR="003E0CFF" w:rsidRPr="003B16DA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 xml:space="preserve">High </w:t>
            </w:r>
            <w:r>
              <w:rPr>
                <w:rFonts w:cs="Arial"/>
                <w:sz w:val="16"/>
              </w:rPr>
              <w:t>security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AF" w14:textId="6874A3E6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3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553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FC297B0" w14:textId="1E7290EF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3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475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0FC297B1" w14:textId="27D155D0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3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688</w:t>
            </w:r>
          </w:p>
        </w:tc>
        <w:tc>
          <w:tcPr>
            <w:tcW w:w="709" w:type="pct"/>
            <w:vAlign w:val="bottom"/>
          </w:tcPr>
          <w:p w14:paraId="2691B891" w14:textId="55D70675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8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B2" w14:textId="39024159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3</w:t>
            </w:r>
            <w:r>
              <w:rPr>
                <w:rFonts w:cs="Arial"/>
                <w:sz w:val="16"/>
              </w:rPr>
              <w:t> 400</w:t>
            </w:r>
          </w:p>
        </w:tc>
      </w:tr>
      <w:tr w:rsidR="003E0CFF" w:rsidRPr="003B16DA" w14:paraId="0FC297BA" w14:textId="77777777" w:rsidTr="007722A9">
        <w:trPr>
          <w:cantSplit/>
        </w:trPr>
        <w:tc>
          <w:tcPr>
            <w:tcW w:w="866" w:type="pct"/>
            <w:shd w:val="clear" w:color="auto" w:fill="auto"/>
            <w:vAlign w:val="bottom"/>
          </w:tcPr>
          <w:p w14:paraId="0FC297B4" w14:textId="77777777" w:rsidR="003E0CFF" w:rsidRPr="003B16DA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Lower Darling</w:t>
            </w:r>
          </w:p>
        </w:tc>
        <w:tc>
          <w:tcPr>
            <w:tcW w:w="588" w:type="pct"/>
            <w:shd w:val="clear" w:color="auto" w:fill="auto"/>
            <w:vAlign w:val="bottom"/>
          </w:tcPr>
          <w:p w14:paraId="0FC297B5" w14:textId="5E26B458" w:rsidR="003E0CFF" w:rsidRPr="003B16DA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 xml:space="preserve">General </w:t>
            </w:r>
            <w:r>
              <w:rPr>
                <w:rFonts w:cs="Arial"/>
                <w:sz w:val="16"/>
              </w:rPr>
              <w:t>security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B6" w14:textId="695C6E19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–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FC297B7" w14:textId="7016DF53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–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0FC297B8" w14:textId="7F371FBC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–</w:t>
            </w:r>
          </w:p>
        </w:tc>
        <w:tc>
          <w:tcPr>
            <w:tcW w:w="709" w:type="pct"/>
            <w:vAlign w:val="bottom"/>
          </w:tcPr>
          <w:p w14:paraId="3CF8607D" w14:textId="3E8B9D6A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–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B9" w14:textId="3F626639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No listings</w:t>
            </w:r>
          </w:p>
        </w:tc>
      </w:tr>
      <w:tr w:rsidR="003E0CFF" w:rsidRPr="003B16DA" w14:paraId="0FC297C1" w14:textId="77777777" w:rsidTr="007722A9">
        <w:trPr>
          <w:cantSplit/>
        </w:trPr>
        <w:tc>
          <w:tcPr>
            <w:tcW w:w="866" w:type="pct"/>
            <w:shd w:val="clear" w:color="auto" w:fill="auto"/>
            <w:vAlign w:val="bottom"/>
          </w:tcPr>
          <w:p w14:paraId="0FC297BB" w14:textId="77777777" w:rsidR="003E0CFF" w:rsidRPr="003B16DA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Lower Darling</w:t>
            </w:r>
          </w:p>
        </w:tc>
        <w:tc>
          <w:tcPr>
            <w:tcW w:w="588" w:type="pct"/>
            <w:shd w:val="clear" w:color="auto" w:fill="auto"/>
            <w:vAlign w:val="bottom"/>
          </w:tcPr>
          <w:p w14:paraId="0FC297BC" w14:textId="2123B77D" w:rsidR="003E0CFF" w:rsidRPr="003B16DA" w:rsidRDefault="003E0CFF" w:rsidP="00083C40">
            <w:pPr>
              <w:pStyle w:val="TableTex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 xml:space="preserve">High </w:t>
            </w:r>
            <w:r>
              <w:rPr>
                <w:rFonts w:cs="Arial"/>
                <w:sz w:val="16"/>
              </w:rPr>
              <w:t>security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BD" w14:textId="61CDC9D7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1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628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FC297BE" w14:textId="6FA3271B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1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674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0FC297BF" w14:textId="79527DCE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1</w:t>
            </w:r>
            <w:r>
              <w:rPr>
                <w:rFonts w:cs="Arial"/>
                <w:sz w:val="16"/>
              </w:rPr>
              <w:t> </w:t>
            </w:r>
            <w:r w:rsidRPr="003B16DA">
              <w:rPr>
                <w:rFonts w:cs="Arial"/>
                <w:sz w:val="16"/>
              </w:rPr>
              <w:t>771</w:t>
            </w:r>
          </w:p>
        </w:tc>
        <w:tc>
          <w:tcPr>
            <w:tcW w:w="709" w:type="pct"/>
            <w:vAlign w:val="bottom"/>
          </w:tcPr>
          <w:p w14:paraId="03A22926" w14:textId="0D22B371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0FC297C0" w14:textId="1F9A75B3" w:rsidR="003E0CFF" w:rsidRPr="003B16DA" w:rsidRDefault="003E0CFF" w:rsidP="007722A9">
            <w:pPr>
              <w:pStyle w:val="TableText"/>
              <w:jc w:val="right"/>
              <w:rPr>
                <w:rFonts w:cs="Arial"/>
                <w:sz w:val="16"/>
              </w:rPr>
            </w:pPr>
            <w:r w:rsidRPr="003B16DA">
              <w:rPr>
                <w:rFonts w:cs="Arial"/>
                <w:sz w:val="16"/>
              </w:rPr>
              <w:t>No listings</w:t>
            </w:r>
          </w:p>
        </w:tc>
      </w:tr>
    </w:tbl>
    <w:p w14:paraId="0FC297C2" w14:textId="7F9255E3" w:rsidR="003C74A1" w:rsidRPr="003B16DA" w:rsidRDefault="00733EB2" w:rsidP="00733EB2">
      <w:pPr>
        <w:pStyle w:val="Table-FigureNote"/>
        <w:tabs>
          <w:tab w:val="left" w:pos="284"/>
        </w:tabs>
      </w:pPr>
      <w:r>
        <w:lastRenderedPageBreak/>
        <w:t>a</w:t>
      </w:r>
      <w:r w:rsidR="007722A9">
        <w:t xml:space="preserve"> </w:t>
      </w:r>
      <w:r w:rsidRPr="00FD5FBE">
        <w:t xml:space="preserve">Water </w:t>
      </w:r>
      <w:r>
        <w:t>intermediary</w:t>
      </w:r>
      <w:r w:rsidRPr="00FD5FBE">
        <w:t xml:space="preserve"> prices </w:t>
      </w:r>
      <w:r>
        <w:t>reflect the range of</w:t>
      </w:r>
      <w:r w:rsidRPr="00FD5FBE">
        <w:t xml:space="preserve"> spot prices </w:t>
      </w:r>
      <w:r>
        <w:t xml:space="preserve">that were </w:t>
      </w:r>
      <w:r w:rsidRPr="00FD5FBE">
        <w:t xml:space="preserve">listed on water intermediary </w:t>
      </w:r>
      <w:r>
        <w:t xml:space="preserve">(exchange and broker) </w:t>
      </w:r>
      <w:r w:rsidRPr="00FD5FBE">
        <w:t>websites</w:t>
      </w:r>
      <w:r>
        <w:t xml:space="preserve"> in June–July 2016.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1780"/>
        <w:gridCol w:w="9"/>
        <w:gridCol w:w="2137"/>
        <w:gridCol w:w="6"/>
        <w:gridCol w:w="2143"/>
        <w:gridCol w:w="6"/>
        <w:gridCol w:w="2155"/>
        <w:gridCol w:w="2140"/>
        <w:gridCol w:w="2137"/>
      </w:tblGrid>
      <w:tr w:rsidR="003E0CFF" w:rsidRPr="0099660C" w14:paraId="0339D680" w14:textId="77777777" w:rsidTr="007722A9">
        <w:trPr>
          <w:cantSplit/>
          <w:tblHeader/>
        </w:trPr>
        <w:tc>
          <w:tcPr>
            <w:tcW w:w="866" w:type="pct"/>
            <w:shd w:val="clear" w:color="auto" w:fill="DEEAF6" w:themeFill="accent1" w:themeFillTint="33"/>
            <w:vAlign w:val="bottom"/>
          </w:tcPr>
          <w:p w14:paraId="048183D1" w14:textId="77777777" w:rsidR="003E0CFF" w:rsidRPr="0099660C" w:rsidRDefault="003E0CFF" w:rsidP="00733EB2">
            <w:pPr>
              <w:pStyle w:val="TableText"/>
              <w:keepNext/>
              <w:rPr>
                <w:b/>
              </w:rPr>
            </w:pPr>
            <w:r w:rsidRPr="0099660C">
              <w:rPr>
                <w:b/>
              </w:rPr>
              <w:t>Region</w:t>
            </w:r>
          </w:p>
        </w:tc>
        <w:tc>
          <w:tcPr>
            <w:tcW w:w="588" w:type="pct"/>
            <w:shd w:val="clear" w:color="auto" w:fill="DEEAF6" w:themeFill="accent1" w:themeFillTint="33"/>
            <w:vAlign w:val="bottom"/>
          </w:tcPr>
          <w:p w14:paraId="77AA949B" w14:textId="77777777" w:rsidR="003E0CFF" w:rsidRPr="0099660C" w:rsidRDefault="003E0CFF" w:rsidP="00733EB2">
            <w:pPr>
              <w:pStyle w:val="TableText"/>
              <w:keepNext/>
              <w:rPr>
                <w:b/>
              </w:rPr>
            </w:pPr>
            <w:r w:rsidRPr="0099660C">
              <w:rPr>
                <w:b/>
              </w:rPr>
              <w:t>Entitlement type</w:t>
            </w:r>
          </w:p>
        </w:tc>
        <w:tc>
          <w:tcPr>
            <w:tcW w:w="709" w:type="pct"/>
            <w:gridSpan w:val="2"/>
            <w:shd w:val="clear" w:color="auto" w:fill="DEEAF6" w:themeFill="accent1" w:themeFillTint="33"/>
            <w:vAlign w:val="bottom"/>
          </w:tcPr>
          <w:p w14:paraId="6613FA8A" w14:textId="3C2A5B21" w:rsidR="003E0CFF" w:rsidRPr="0099660C" w:rsidRDefault="003E0CFF" w:rsidP="007722A9">
            <w:pPr>
              <w:pStyle w:val="TableText"/>
              <w:keepNext/>
              <w:jc w:val="right"/>
              <w:rPr>
                <w:b/>
              </w:rPr>
            </w:pPr>
            <w:r w:rsidRPr="0099660C">
              <w:rPr>
                <w:b/>
              </w:rPr>
              <w:t>June quarter 2016 VWAP ($/ML)</w:t>
            </w:r>
          </w:p>
        </w:tc>
        <w:tc>
          <w:tcPr>
            <w:tcW w:w="710" w:type="pct"/>
            <w:gridSpan w:val="2"/>
            <w:shd w:val="clear" w:color="auto" w:fill="DEEAF6" w:themeFill="accent1" w:themeFillTint="33"/>
            <w:vAlign w:val="bottom"/>
          </w:tcPr>
          <w:p w14:paraId="277F6045" w14:textId="6EC0C34B" w:rsidR="003E0CFF" w:rsidRPr="0099660C" w:rsidRDefault="003E0CFF" w:rsidP="007722A9">
            <w:pPr>
              <w:pStyle w:val="TableText"/>
              <w:keepNext/>
              <w:jc w:val="right"/>
              <w:rPr>
                <w:b/>
              </w:rPr>
            </w:pPr>
            <w:r w:rsidRPr="00083C40">
              <w:rPr>
                <w:b/>
              </w:rPr>
              <w:t xml:space="preserve">June </w:t>
            </w:r>
            <w:r w:rsidRPr="0099660C">
              <w:rPr>
                <w:b/>
              </w:rPr>
              <w:t xml:space="preserve">quarter </w:t>
            </w:r>
            <w:r w:rsidRPr="00083C40">
              <w:rPr>
                <w:b/>
              </w:rPr>
              <w:t>2016</w:t>
            </w:r>
            <w:r w:rsidR="007722A9">
              <w:rPr>
                <w:b/>
              </w:rPr>
              <w:t xml:space="preserve"> </w:t>
            </w:r>
            <w:r w:rsidRPr="0099660C">
              <w:rPr>
                <w:b/>
              </w:rPr>
              <w:t>25th</w:t>
            </w:r>
            <w:r w:rsidR="007722A9">
              <w:rPr>
                <w:b/>
              </w:rPr>
              <w:t> </w:t>
            </w:r>
            <w:r w:rsidRPr="0099660C">
              <w:rPr>
                <w:b/>
              </w:rPr>
              <w:t>percentile ($/ML)</w:t>
            </w:r>
          </w:p>
        </w:tc>
        <w:tc>
          <w:tcPr>
            <w:tcW w:w="714" w:type="pct"/>
            <w:gridSpan w:val="2"/>
            <w:shd w:val="clear" w:color="auto" w:fill="DEEAF6" w:themeFill="accent1" w:themeFillTint="33"/>
            <w:vAlign w:val="bottom"/>
          </w:tcPr>
          <w:p w14:paraId="5C9CEC44" w14:textId="45B272D7" w:rsidR="003E0CFF" w:rsidRPr="0099660C" w:rsidRDefault="003E0CFF" w:rsidP="007722A9">
            <w:pPr>
              <w:pStyle w:val="TableText"/>
              <w:keepNext/>
              <w:jc w:val="right"/>
              <w:rPr>
                <w:b/>
              </w:rPr>
            </w:pPr>
            <w:r w:rsidRPr="00083C40">
              <w:rPr>
                <w:b/>
              </w:rPr>
              <w:t xml:space="preserve">June </w:t>
            </w:r>
            <w:r w:rsidRPr="0099660C">
              <w:rPr>
                <w:b/>
              </w:rPr>
              <w:t xml:space="preserve">quarter </w:t>
            </w:r>
            <w:r w:rsidRPr="00083C40">
              <w:rPr>
                <w:b/>
              </w:rPr>
              <w:t>2016</w:t>
            </w:r>
            <w:r w:rsidR="007722A9">
              <w:rPr>
                <w:b/>
              </w:rPr>
              <w:t xml:space="preserve"> </w:t>
            </w:r>
            <w:r w:rsidRPr="0099660C">
              <w:rPr>
                <w:b/>
              </w:rPr>
              <w:t>75th</w:t>
            </w:r>
            <w:r w:rsidR="007722A9">
              <w:rPr>
                <w:b/>
              </w:rPr>
              <w:t> </w:t>
            </w:r>
            <w:r w:rsidRPr="0099660C">
              <w:rPr>
                <w:b/>
              </w:rPr>
              <w:t>percentile ($/ML)</w:t>
            </w:r>
          </w:p>
        </w:tc>
        <w:tc>
          <w:tcPr>
            <w:tcW w:w="707" w:type="pct"/>
            <w:shd w:val="clear" w:color="auto" w:fill="DEEAF6" w:themeFill="accent1" w:themeFillTint="33"/>
            <w:vAlign w:val="bottom"/>
          </w:tcPr>
          <w:p w14:paraId="591FBF03" w14:textId="7A49BCF4" w:rsidR="003E0CFF" w:rsidRPr="00083C40" w:rsidRDefault="003E0CFF" w:rsidP="007722A9">
            <w:pPr>
              <w:pStyle w:val="TableText"/>
              <w:keepNext/>
              <w:jc w:val="right"/>
              <w:rPr>
                <w:b/>
              </w:rPr>
            </w:pPr>
            <w:r w:rsidRPr="00083C40">
              <w:rPr>
                <w:b/>
              </w:rPr>
              <w:t xml:space="preserve">June </w:t>
            </w:r>
            <w:r w:rsidRPr="0099660C">
              <w:rPr>
                <w:b/>
              </w:rPr>
              <w:t xml:space="preserve">quarter </w:t>
            </w:r>
            <w:r w:rsidRPr="00083C40">
              <w:rPr>
                <w:b/>
              </w:rPr>
              <w:t>2016</w:t>
            </w:r>
            <w:r w:rsidR="007722A9">
              <w:rPr>
                <w:b/>
              </w:rPr>
              <w:t xml:space="preserve"> no. </w:t>
            </w:r>
            <w:r>
              <w:rPr>
                <w:b/>
              </w:rPr>
              <w:t>of</w:t>
            </w:r>
            <w:r w:rsidR="007722A9">
              <w:rPr>
                <w:b/>
              </w:rPr>
              <w:t> </w:t>
            </w:r>
            <w:r>
              <w:rPr>
                <w:b/>
              </w:rPr>
              <w:t>trades</w:t>
            </w:r>
          </w:p>
        </w:tc>
        <w:tc>
          <w:tcPr>
            <w:tcW w:w="707" w:type="pct"/>
            <w:shd w:val="clear" w:color="auto" w:fill="DEEAF6" w:themeFill="accent1" w:themeFillTint="33"/>
            <w:vAlign w:val="bottom"/>
          </w:tcPr>
          <w:p w14:paraId="0B20C532" w14:textId="3CEC87BA" w:rsidR="003E0CFF" w:rsidRPr="0099660C" w:rsidRDefault="003E0CFF" w:rsidP="007722A9">
            <w:pPr>
              <w:pStyle w:val="TableText"/>
              <w:keepNext/>
              <w:jc w:val="right"/>
              <w:rPr>
                <w:b/>
              </w:rPr>
            </w:pPr>
            <w:r w:rsidRPr="00083C40">
              <w:rPr>
                <w:b/>
              </w:rPr>
              <w:t>Broker buy/sell range ($/ML)</w:t>
            </w:r>
            <w:r w:rsidRPr="00733EB2">
              <w:rPr>
                <w:b/>
                <w:vertAlign w:val="superscript"/>
              </w:rPr>
              <w:t>a</w:t>
            </w:r>
          </w:p>
        </w:tc>
      </w:tr>
      <w:tr w:rsidR="007722A9" w:rsidRPr="00733EB2" w14:paraId="0CCC2AC3" w14:textId="77777777" w:rsidTr="007722A9">
        <w:tc>
          <w:tcPr>
            <w:tcW w:w="1" w:type="pct"/>
            <w:gridSpan w:val="10"/>
            <w:vAlign w:val="bottom"/>
          </w:tcPr>
          <w:p w14:paraId="54383EC0" w14:textId="07148FAE" w:rsidR="007722A9" w:rsidRPr="00733EB2" w:rsidRDefault="007722A9" w:rsidP="007722A9">
            <w:pPr>
              <w:pStyle w:val="TableText"/>
              <w:rPr>
                <w:b/>
              </w:rPr>
            </w:pPr>
            <w:r w:rsidRPr="00733EB2">
              <w:rPr>
                <w:b/>
              </w:rPr>
              <w:t>Northern Murray–Darling Basin</w:t>
            </w:r>
          </w:p>
        </w:tc>
      </w:tr>
      <w:tr w:rsidR="003E0CFF" w:rsidRPr="004B6C30" w14:paraId="0FC297DC" w14:textId="77777777" w:rsidTr="007722A9">
        <w:tc>
          <w:tcPr>
            <w:tcW w:w="866" w:type="pct"/>
          </w:tcPr>
          <w:p w14:paraId="0FC297D6" w14:textId="77777777" w:rsidR="003E0CFF" w:rsidRPr="00083C40" w:rsidRDefault="003E0CFF" w:rsidP="007722A9">
            <w:pPr>
              <w:pStyle w:val="TableText"/>
            </w:pPr>
            <w:r w:rsidRPr="00083C40">
              <w:t>Macquarie</w:t>
            </w:r>
          </w:p>
        </w:tc>
        <w:tc>
          <w:tcPr>
            <w:tcW w:w="591" w:type="pct"/>
            <w:gridSpan w:val="2"/>
          </w:tcPr>
          <w:p w14:paraId="0FC297D7" w14:textId="0CF3B10D" w:rsidR="003E0CFF" w:rsidRPr="00083C40" w:rsidRDefault="003E0CFF" w:rsidP="007722A9">
            <w:pPr>
              <w:pStyle w:val="TableText"/>
            </w:pPr>
            <w:r w:rsidRPr="00083C40">
              <w:t>General security</w:t>
            </w:r>
          </w:p>
        </w:tc>
        <w:tc>
          <w:tcPr>
            <w:tcW w:w="708" w:type="pct"/>
            <w:gridSpan w:val="2"/>
          </w:tcPr>
          <w:p w14:paraId="0FC297D8" w14:textId="0B242524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10" w:type="pct"/>
            <w:gridSpan w:val="2"/>
          </w:tcPr>
          <w:p w14:paraId="0FC297D9" w14:textId="2A419AE6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12" w:type="pct"/>
          </w:tcPr>
          <w:p w14:paraId="0FC297DA" w14:textId="7EE600A4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07" w:type="pct"/>
          </w:tcPr>
          <w:p w14:paraId="67AD54DA" w14:textId="074AB7EB" w:rsidR="003E0CFF" w:rsidRPr="00083C40" w:rsidRDefault="003E0CFF" w:rsidP="007722A9">
            <w:pPr>
              <w:pStyle w:val="TableText"/>
              <w:jc w:val="right"/>
            </w:pPr>
            <w:r>
              <w:rPr>
                <w:rFonts w:cs="Arial"/>
                <w:sz w:val="16"/>
              </w:rPr>
              <w:t>–</w:t>
            </w:r>
          </w:p>
        </w:tc>
        <w:tc>
          <w:tcPr>
            <w:tcW w:w="707" w:type="pct"/>
            <w:shd w:val="clear" w:color="auto" w:fill="auto"/>
          </w:tcPr>
          <w:p w14:paraId="0FC297DB" w14:textId="46528B0D" w:rsidR="003E0CFF" w:rsidRPr="00083C40" w:rsidRDefault="003E0CFF" w:rsidP="007722A9">
            <w:pPr>
              <w:pStyle w:val="TableText"/>
              <w:jc w:val="right"/>
            </w:pPr>
            <w:r w:rsidRPr="00083C40">
              <w:t>900–1 500</w:t>
            </w:r>
          </w:p>
        </w:tc>
      </w:tr>
      <w:tr w:rsidR="003E0CFF" w:rsidRPr="004B6C30" w14:paraId="0FC297E3" w14:textId="77777777" w:rsidTr="007722A9">
        <w:tc>
          <w:tcPr>
            <w:tcW w:w="866" w:type="pct"/>
          </w:tcPr>
          <w:p w14:paraId="0FC297DD" w14:textId="77777777" w:rsidR="003E0CFF" w:rsidRPr="00083C40" w:rsidRDefault="003E0CFF" w:rsidP="007722A9">
            <w:pPr>
              <w:pStyle w:val="TableText"/>
            </w:pPr>
            <w:r w:rsidRPr="00083C40">
              <w:t>Namoi</w:t>
            </w:r>
          </w:p>
        </w:tc>
        <w:tc>
          <w:tcPr>
            <w:tcW w:w="591" w:type="pct"/>
            <w:gridSpan w:val="2"/>
          </w:tcPr>
          <w:p w14:paraId="0FC297DE" w14:textId="438E94DA" w:rsidR="003E0CFF" w:rsidRPr="00083C40" w:rsidRDefault="003E0CFF" w:rsidP="007722A9">
            <w:pPr>
              <w:pStyle w:val="TableText"/>
            </w:pPr>
            <w:r w:rsidRPr="00083C40">
              <w:t>General security</w:t>
            </w:r>
          </w:p>
        </w:tc>
        <w:tc>
          <w:tcPr>
            <w:tcW w:w="708" w:type="pct"/>
            <w:gridSpan w:val="2"/>
          </w:tcPr>
          <w:p w14:paraId="0FC297DF" w14:textId="794E3533" w:rsidR="003E0CFF" w:rsidRPr="00083C40" w:rsidRDefault="003E0CFF" w:rsidP="007722A9">
            <w:pPr>
              <w:pStyle w:val="TableText"/>
              <w:jc w:val="right"/>
            </w:pPr>
            <w:r w:rsidRPr="00083C40">
              <w:t>1 998</w:t>
            </w:r>
          </w:p>
        </w:tc>
        <w:tc>
          <w:tcPr>
            <w:tcW w:w="710" w:type="pct"/>
            <w:gridSpan w:val="2"/>
          </w:tcPr>
          <w:p w14:paraId="0FC297E0" w14:textId="16FD7870" w:rsidR="003E0CFF" w:rsidRPr="00083C40" w:rsidRDefault="003E0CFF" w:rsidP="007722A9">
            <w:pPr>
              <w:pStyle w:val="TableText"/>
              <w:jc w:val="right"/>
            </w:pPr>
            <w:r w:rsidRPr="00083C40">
              <w:t>1 886</w:t>
            </w:r>
          </w:p>
        </w:tc>
        <w:tc>
          <w:tcPr>
            <w:tcW w:w="712" w:type="pct"/>
          </w:tcPr>
          <w:p w14:paraId="0FC297E1" w14:textId="74DCF99F" w:rsidR="003E0CFF" w:rsidRPr="00083C40" w:rsidRDefault="003E0CFF" w:rsidP="007722A9">
            <w:pPr>
              <w:pStyle w:val="TableText"/>
              <w:jc w:val="right"/>
            </w:pPr>
            <w:r w:rsidRPr="00083C40">
              <w:t>2 000</w:t>
            </w:r>
          </w:p>
        </w:tc>
        <w:tc>
          <w:tcPr>
            <w:tcW w:w="707" w:type="pct"/>
          </w:tcPr>
          <w:p w14:paraId="48397B61" w14:textId="587E58E2" w:rsidR="003E0CFF" w:rsidRPr="00083C40" w:rsidRDefault="003E0CFF" w:rsidP="007722A9">
            <w:pPr>
              <w:pStyle w:val="TableText"/>
              <w:jc w:val="right"/>
            </w:pPr>
            <w:r>
              <w:t>4</w:t>
            </w:r>
          </w:p>
        </w:tc>
        <w:tc>
          <w:tcPr>
            <w:tcW w:w="707" w:type="pct"/>
            <w:shd w:val="clear" w:color="auto" w:fill="auto"/>
          </w:tcPr>
          <w:p w14:paraId="0FC297E2" w14:textId="7F9D14F2" w:rsidR="003E0CFF" w:rsidRPr="00083C40" w:rsidRDefault="003E0CFF" w:rsidP="007722A9">
            <w:pPr>
              <w:pStyle w:val="TableText"/>
              <w:jc w:val="right"/>
            </w:pPr>
            <w:r w:rsidRPr="00083C40">
              <w:t>No listings</w:t>
            </w:r>
          </w:p>
        </w:tc>
      </w:tr>
      <w:tr w:rsidR="003E0CFF" w:rsidRPr="004B6C30" w14:paraId="0FC297EA" w14:textId="77777777" w:rsidTr="007722A9">
        <w:tc>
          <w:tcPr>
            <w:tcW w:w="866" w:type="pct"/>
          </w:tcPr>
          <w:p w14:paraId="0FC297E4" w14:textId="77777777" w:rsidR="003E0CFF" w:rsidRPr="00083C40" w:rsidRDefault="003E0CFF" w:rsidP="007722A9">
            <w:pPr>
              <w:pStyle w:val="TableText"/>
            </w:pPr>
            <w:r w:rsidRPr="00083C40">
              <w:t>Gwydir</w:t>
            </w:r>
          </w:p>
        </w:tc>
        <w:tc>
          <w:tcPr>
            <w:tcW w:w="591" w:type="pct"/>
            <w:gridSpan w:val="2"/>
          </w:tcPr>
          <w:p w14:paraId="0FC297E5" w14:textId="73895299" w:rsidR="003E0CFF" w:rsidRPr="00083C40" w:rsidRDefault="003E0CFF" w:rsidP="007722A9">
            <w:pPr>
              <w:pStyle w:val="TableText"/>
            </w:pPr>
            <w:r w:rsidRPr="00083C40">
              <w:t>General security</w:t>
            </w:r>
          </w:p>
        </w:tc>
        <w:tc>
          <w:tcPr>
            <w:tcW w:w="708" w:type="pct"/>
            <w:gridSpan w:val="2"/>
          </w:tcPr>
          <w:p w14:paraId="0FC297E6" w14:textId="744807BE" w:rsidR="003E0CFF" w:rsidRPr="00083C40" w:rsidRDefault="003E0CFF" w:rsidP="007722A9">
            <w:pPr>
              <w:pStyle w:val="TableText"/>
              <w:jc w:val="right"/>
            </w:pPr>
            <w:r w:rsidRPr="00083C40">
              <w:t>2 226</w:t>
            </w:r>
          </w:p>
        </w:tc>
        <w:tc>
          <w:tcPr>
            <w:tcW w:w="710" w:type="pct"/>
            <w:gridSpan w:val="2"/>
          </w:tcPr>
          <w:p w14:paraId="0FC297E7" w14:textId="1461AF3D" w:rsidR="003E0CFF" w:rsidRPr="00083C40" w:rsidRDefault="003E0CFF" w:rsidP="007722A9">
            <w:pPr>
              <w:pStyle w:val="TableText"/>
              <w:jc w:val="right"/>
            </w:pPr>
            <w:r w:rsidRPr="00083C40">
              <w:t>2 226</w:t>
            </w:r>
          </w:p>
        </w:tc>
        <w:tc>
          <w:tcPr>
            <w:tcW w:w="712" w:type="pct"/>
          </w:tcPr>
          <w:p w14:paraId="0FC297E8" w14:textId="445CF1EA" w:rsidR="003E0CFF" w:rsidRPr="00083C40" w:rsidRDefault="003E0CFF" w:rsidP="007722A9">
            <w:pPr>
              <w:pStyle w:val="TableText"/>
              <w:jc w:val="right"/>
            </w:pPr>
            <w:r w:rsidRPr="00083C40">
              <w:t>2 226</w:t>
            </w:r>
          </w:p>
        </w:tc>
        <w:tc>
          <w:tcPr>
            <w:tcW w:w="707" w:type="pct"/>
          </w:tcPr>
          <w:p w14:paraId="6E2120E2" w14:textId="0224BDE2" w:rsidR="003E0CFF" w:rsidRPr="00083C40" w:rsidRDefault="003E0CFF" w:rsidP="007722A9">
            <w:pPr>
              <w:pStyle w:val="TableText"/>
              <w:jc w:val="right"/>
            </w:pPr>
            <w:r>
              <w:t>1</w:t>
            </w:r>
          </w:p>
        </w:tc>
        <w:tc>
          <w:tcPr>
            <w:tcW w:w="707" w:type="pct"/>
          </w:tcPr>
          <w:p w14:paraId="0FC297E9" w14:textId="603F0EA1" w:rsidR="003E0CFF" w:rsidRPr="00083C40" w:rsidRDefault="003E0CFF" w:rsidP="007722A9">
            <w:pPr>
              <w:pStyle w:val="TableText"/>
              <w:jc w:val="right"/>
            </w:pPr>
            <w:r w:rsidRPr="00083C40">
              <w:t>No listings</w:t>
            </w:r>
          </w:p>
        </w:tc>
      </w:tr>
      <w:tr w:rsidR="003E0CFF" w:rsidRPr="004B6C30" w14:paraId="0FC297F1" w14:textId="77777777" w:rsidTr="007722A9">
        <w:tc>
          <w:tcPr>
            <w:tcW w:w="866" w:type="pct"/>
          </w:tcPr>
          <w:p w14:paraId="0FC297EB" w14:textId="77777777" w:rsidR="003E0CFF" w:rsidRPr="00083C40" w:rsidRDefault="003E0CFF" w:rsidP="007722A9">
            <w:pPr>
              <w:pStyle w:val="TableText"/>
            </w:pPr>
            <w:r w:rsidRPr="00083C40">
              <w:t>NSW Border Rivers</w:t>
            </w:r>
          </w:p>
        </w:tc>
        <w:tc>
          <w:tcPr>
            <w:tcW w:w="591" w:type="pct"/>
            <w:gridSpan w:val="2"/>
          </w:tcPr>
          <w:p w14:paraId="0FC297EC" w14:textId="1179BA83" w:rsidR="003E0CFF" w:rsidRPr="00083C40" w:rsidRDefault="003E0CFF" w:rsidP="007722A9">
            <w:pPr>
              <w:pStyle w:val="TableText"/>
            </w:pPr>
            <w:r w:rsidRPr="00083C40">
              <w:t>General security</w:t>
            </w:r>
          </w:p>
        </w:tc>
        <w:tc>
          <w:tcPr>
            <w:tcW w:w="708" w:type="pct"/>
            <w:gridSpan w:val="2"/>
          </w:tcPr>
          <w:p w14:paraId="0FC297ED" w14:textId="3EA2F935" w:rsidR="003E0CFF" w:rsidRPr="00083C40" w:rsidRDefault="003E0CFF" w:rsidP="007722A9">
            <w:pPr>
              <w:pStyle w:val="TableText"/>
              <w:jc w:val="right"/>
            </w:pPr>
            <w:r w:rsidRPr="00083C40">
              <w:t>2 326</w:t>
            </w:r>
          </w:p>
        </w:tc>
        <w:tc>
          <w:tcPr>
            <w:tcW w:w="710" w:type="pct"/>
            <w:gridSpan w:val="2"/>
          </w:tcPr>
          <w:p w14:paraId="0FC297EE" w14:textId="6D7A03AE" w:rsidR="003E0CFF" w:rsidRPr="00083C40" w:rsidRDefault="003E0CFF" w:rsidP="007722A9">
            <w:pPr>
              <w:pStyle w:val="TableText"/>
              <w:jc w:val="right"/>
            </w:pPr>
            <w:r w:rsidRPr="00083C40">
              <w:t>2 998</w:t>
            </w:r>
          </w:p>
        </w:tc>
        <w:tc>
          <w:tcPr>
            <w:tcW w:w="712" w:type="pct"/>
          </w:tcPr>
          <w:p w14:paraId="0FC297EF" w14:textId="0CF72D9C" w:rsidR="003E0CFF" w:rsidRPr="00083C40" w:rsidRDefault="003E0CFF" w:rsidP="007722A9">
            <w:pPr>
              <w:pStyle w:val="TableText"/>
              <w:jc w:val="right"/>
            </w:pPr>
            <w:r w:rsidRPr="00083C40">
              <w:t>4 000</w:t>
            </w:r>
          </w:p>
        </w:tc>
        <w:tc>
          <w:tcPr>
            <w:tcW w:w="707" w:type="pct"/>
          </w:tcPr>
          <w:p w14:paraId="3C4DCCBD" w14:textId="56952A2B" w:rsidR="003E0CFF" w:rsidRPr="00083C40" w:rsidRDefault="003E0CFF" w:rsidP="007722A9">
            <w:pPr>
              <w:pStyle w:val="TableText"/>
              <w:jc w:val="right"/>
            </w:pPr>
            <w:r>
              <w:t>3</w:t>
            </w:r>
          </w:p>
        </w:tc>
        <w:tc>
          <w:tcPr>
            <w:tcW w:w="707" w:type="pct"/>
          </w:tcPr>
          <w:p w14:paraId="0FC297F0" w14:textId="07F77B9C" w:rsidR="003E0CFF" w:rsidRPr="00083C40" w:rsidRDefault="003E0CFF" w:rsidP="007722A9">
            <w:pPr>
              <w:pStyle w:val="TableText"/>
              <w:jc w:val="right"/>
            </w:pPr>
            <w:r w:rsidRPr="00083C40">
              <w:t>No listings</w:t>
            </w:r>
          </w:p>
        </w:tc>
      </w:tr>
      <w:tr w:rsidR="003E0CFF" w:rsidRPr="004B6C30" w14:paraId="0FC297F8" w14:textId="77777777" w:rsidTr="007722A9">
        <w:tc>
          <w:tcPr>
            <w:tcW w:w="866" w:type="pct"/>
          </w:tcPr>
          <w:p w14:paraId="0FC297F2" w14:textId="2BDBE390" w:rsidR="003E0CFF" w:rsidRPr="00083C40" w:rsidRDefault="003E0CFF" w:rsidP="007722A9">
            <w:pPr>
              <w:pStyle w:val="TableText"/>
            </w:pPr>
            <w:r w:rsidRPr="00083C40">
              <w:t xml:space="preserve">Barwon–Darling </w:t>
            </w:r>
          </w:p>
        </w:tc>
        <w:tc>
          <w:tcPr>
            <w:tcW w:w="591" w:type="pct"/>
            <w:gridSpan w:val="2"/>
          </w:tcPr>
          <w:p w14:paraId="0FC297F3" w14:textId="77777777" w:rsidR="003E0CFF" w:rsidRPr="00083C40" w:rsidRDefault="003E0CFF" w:rsidP="007722A9">
            <w:pPr>
              <w:pStyle w:val="TableText"/>
            </w:pPr>
            <w:r w:rsidRPr="00083C40">
              <w:t>Unregulated</w:t>
            </w:r>
          </w:p>
        </w:tc>
        <w:tc>
          <w:tcPr>
            <w:tcW w:w="708" w:type="pct"/>
            <w:gridSpan w:val="2"/>
          </w:tcPr>
          <w:p w14:paraId="0FC297F4" w14:textId="3AE3F907" w:rsidR="003E0CFF" w:rsidRPr="00083C40" w:rsidRDefault="003E0CFF" w:rsidP="007722A9">
            <w:pPr>
              <w:pStyle w:val="TableText"/>
              <w:jc w:val="right"/>
            </w:pPr>
            <w:r w:rsidRPr="00083C40">
              <w:t>1 123</w:t>
            </w:r>
          </w:p>
        </w:tc>
        <w:tc>
          <w:tcPr>
            <w:tcW w:w="710" w:type="pct"/>
            <w:gridSpan w:val="2"/>
          </w:tcPr>
          <w:p w14:paraId="0FC297F5" w14:textId="67EAAC69" w:rsidR="003E0CFF" w:rsidRPr="00083C40" w:rsidRDefault="003E0CFF" w:rsidP="007722A9">
            <w:pPr>
              <w:pStyle w:val="TableText"/>
              <w:jc w:val="right"/>
            </w:pPr>
            <w:r w:rsidRPr="00083C40">
              <w:t>1 138</w:t>
            </w:r>
          </w:p>
        </w:tc>
        <w:tc>
          <w:tcPr>
            <w:tcW w:w="712" w:type="pct"/>
          </w:tcPr>
          <w:p w14:paraId="0FC297F6" w14:textId="2018B002" w:rsidR="003E0CFF" w:rsidRPr="00083C40" w:rsidRDefault="003E0CFF" w:rsidP="007722A9">
            <w:pPr>
              <w:pStyle w:val="TableText"/>
              <w:jc w:val="right"/>
            </w:pPr>
            <w:r w:rsidRPr="00083C40">
              <w:t>1 246</w:t>
            </w:r>
          </w:p>
        </w:tc>
        <w:tc>
          <w:tcPr>
            <w:tcW w:w="707" w:type="pct"/>
          </w:tcPr>
          <w:p w14:paraId="1284C5B8" w14:textId="337F8DC3" w:rsidR="003E0CFF" w:rsidRPr="00083C40" w:rsidRDefault="003E0CFF" w:rsidP="007722A9">
            <w:pPr>
              <w:pStyle w:val="TableText"/>
              <w:jc w:val="right"/>
            </w:pPr>
            <w:r>
              <w:t>2</w:t>
            </w:r>
          </w:p>
        </w:tc>
        <w:tc>
          <w:tcPr>
            <w:tcW w:w="707" w:type="pct"/>
          </w:tcPr>
          <w:p w14:paraId="0FC297F7" w14:textId="0FB449ED" w:rsidR="003E0CFF" w:rsidRPr="00083C40" w:rsidRDefault="003E0CFF" w:rsidP="007722A9">
            <w:pPr>
              <w:pStyle w:val="TableText"/>
              <w:jc w:val="right"/>
              <w:rPr>
                <w:highlight w:val="yellow"/>
              </w:rPr>
            </w:pPr>
            <w:r w:rsidRPr="00083C40">
              <w:t>No listings</w:t>
            </w:r>
          </w:p>
        </w:tc>
      </w:tr>
      <w:tr w:rsidR="003E0CFF" w:rsidRPr="004B6C30" w14:paraId="0FC297FF" w14:textId="77777777" w:rsidTr="007722A9">
        <w:tc>
          <w:tcPr>
            <w:tcW w:w="866" w:type="pct"/>
          </w:tcPr>
          <w:p w14:paraId="0FC297F9" w14:textId="77777777" w:rsidR="003E0CFF" w:rsidRPr="00083C40" w:rsidRDefault="003E0CFF" w:rsidP="007722A9">
            <w:pPr>
              <w:pStyle w:val="TableText"/>
            </w:pPr>
            <w:r w:rsidRPr="00083C40">
              <w:t>Lachlan</w:t>
            </w:r>
          </w:p>
        </w:tc>
        <w:tc>
          <w:tcPr>
            <w:tcW w:w="591" w:type="pct"/>
            <w:gridSpan w:val="2"/>
          </w:tcPr>
          <w:p w14:paraId="0FC297FA" w14:textId="21B86D2D" w:rsidR="003E0CFF" w:rsidRPr="00083C40" w:rsidRDefault="003E0CFF" w:rsidP="007722A9">
            <w:pPr>
              <w:pStyle w:val="TableText"/>
            </w:pPr>
            <w:r w:rsidRPr="00083C40">
              <w:t>General security</w:t>
            </w:r>
          </w:p>
        </w:tc>
        <w:tc>
          <w:tcPr>
            <w:tcW w:w="708" w:type="pct"/>
            <w:gridSpan w:val="2"/>
          </w:tcPr>
          <w:p w14:paraId="0FC297FB" w14:textId="1AD74AC3" w:rsidR="003E0CFF" w:rsidRPr="00083C40" w:rsidRDefault="003E0CFF" w:rsidP="007722A9">
            <w:pPr>
              <w:pStyle w:val="TableText"/>
              <w:jc w:val="right"/>
            </w:pPr>
            <w:r w:rsidRPr="00083C40">
              <w:t>484</w:t>
            </w:r>
          </w:p>
        </w:tc>
        <w:tc>
          <w:tcPr>
            <w:tcW w:w="710" w:type="pct"/>
            <w:gridSpan w:val="2"/>
          </w:tcPr>
          <w:p w14:paraId="0FC297FC" w14:textId="1B42619F" w:rsidR="003E0CFF" w:rsidRPr="00083C40" w:rsidRDefault="003E0CFF" w:rsidP="007722A9">
            <w:pPr>
              <w:pStyle w:val="TableText"/>
              <w:jc w:val="right"/>
            </w:pPr>
            <w:r w:rsidRPr="00083C40">
              <w:t>471</w:t>
            </w:r>
          </w:p>
        </w:tc>
        <w:tc>
          <w:tcPr>
            <w:tcW w:w="712" w:type="pct"/>
          </w:tcPr>
          <w:p w14:paraId="0FC297FD" w14:textId="2F1CAA4F" w:rsidR="003E0CFF" w:rsidRPr="00083C40" w:rsidRDefault="003E0CFF" w:rsidP="007722A9">
            <w:pPr>
              <w:pStyle w:val="TableText"/>
              <w:jc w:val="right"/>
            </w:pPr>
            <w:r w:rsidRPr="00083C40">
              <w:t>489</w:t>
            </w:r>
          </w:p>
        </w:tc>
        <w:tc>
          <w:tcPr>
            <w:tcW w:w="707" w:type="pct"/>
          </w:tcPr>
          <w:p w14:paraId="7D8099F3" w14:textId="3F6E5006" w:rsidR="003E0CFF" w:rsidRPr="00083C40" w:rsidRDefault="003E0CFF" w:rsidP="007722A9">
            <w:pPr>
              <w:pStyle w:val="TableText"/>
              <w:jc w:val="right"/>
            </w:pPr>
            <w:r>
              <w:t>8</w:t>
            </w:r>
          </w:p>
        </w:tc>
        <w:tc>
          <w:tcPr>
            <w:tcW w:w="707" w:type="pct"/>
            <w:shd w:val="clear" w:color="auto" w:fill="auto"/>
          </w:tcPr>
          <w:p w14:paraId="0FC297FE" w14:textId="0AA1D54D" w:rsidR="003E0CFF" w:rsidRPr="00083C40" w:rsidRDefault="003E0CFF" w:rsidP="007722A9">
            <w:pPr>
              <w:pStyle w:val="TableText"/>
              <w:jc w:val="right"/>
            </w:pPr>
            <w:r w:rsidRPr="00083C40">
              <w:t>No listings</w:t>
            </w:r>
          </w:p>
        </w:tc>
      </w:tr>
      <w:tr w:rsidR="003E0CFF" w:rsidRPr="004B6C30" w14:paraId="0FC29806" w14:textId="77777777" w:rsidTr="007722A9">
        <w:trPr>
          <w:trHeight w:val="63"/>
        </w:trPr>
        <w:tc>
          <w:tcPr>
            <w:tcW w:w="866" w:type="pct"/>
          </w:tcPr>
          <w:p w14:paraId="0FC29800" w14:textId="2DB5E142" w:rsidR="003E0CFF" w:rsidRPr="00083C40" w:rsidRDefault="003E0CFF" w:rsidP="007722A9">
            <w:pPr>
              <w:pStyle w:val="TableText"/>
            </w:pPr>
            <w:r w:rsidRPr="00083C40">
              <w:t>Qld Border Rivers</w:t>
            </w:r>
          </w:p>
        </w:tc>
        <w:tc>
          <w:tcPr>
            <w:tcW w:w="591" w:type="pct"/>
            <w:gridSpan w:val="2"/>
          </w:tcPr>
          <w:p w14:paraId="0FC29801" w14:textId="77777777" w:rsidR="003E0CFF" w:rsidRPr="00083C40" w:rsidRDefault="003E0CFF" w:rsidP="007722A9">
            <w:pPr>
              <w:pStyle w:val="TableText"/>
            </w:pPr>
            <w:r w:rsidRPr="00083C40">
              <w:t>Supplemented</w:t>
            </w:r>
          </w:p>
        </w:tc>
        <w:tc>
          <w:tcPr>
            <w:tcW w:w="708" w:type="pct"/>
            <w:gridSpan w:val="2"/>
          </w:tcPr>
          <w:p w14:paraId="0FC29802" w14:textId="7DA3611B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10" w:type="pct"/>
            <w:gridSpan w:val="2"/>
          </w:tcPr>
          <w:p w14:paraId="0FC29803" w14:textId="18D141F3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12" w:type="pct"/>
          </w:tcPr>
          <w:p w14:paraId="0FC29804" w14:textId="3F0B4A9D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07" w:type="pct"/>
          </w:tcPr>
          <w:p w14:paraId="73180AB9" w14:textId="37FB2296" w:rsidR="003E0CFF" w:rsidRPr="00083C40" w:rsidRDefault="00546AAC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07" w:type="pct"/>
            <w:shd w:val="clear" w:color="auto" w:fill="auto"/>
          </w:tcPr>
          <w:p w14:paraId="0FC29805" w14:textId="499EFB35" w:rsidR="003E0CFF" w:rsidRPr="00083C40" w:rsidRDefault="003E0CFF" w:rsidP="007722A9">
            <w:pPr>
              <w:pStyle w:val="TableText"/>
              <w:jc w:val="right"/>
            </w:pPr>
            <w:r w:rsidRPr="00083C40">
              <w:t>No listings</w:t>
            </w:r>
          </w:p>
        </w:tc>
      </w:tr>
      <w:tr w:rsidR="003E0CFF" w:rsidRPr="004B6C30" w14:paraId="0FC2980D" w14:textId="77777777" w:rsidTr="007722A9">
        <w:tc>
          <w:tcPr>
            <w:tcW w:w="866" w:type="pct"/>
          </w:tcPr>
          <w:p w14:paraId="0FC29807" w14:textId="731799B7" w:rsidR="003E0CFF" w:rsidRPr="00083C40" w:rsidRDefault="003E0CFF" w:rsidP="007722A9">
            <w:pPr>
              <w:pStyle w:val="TableText"/>
            </w:pPr>
            <w:r w:rsidRPr="00083C40">
              <w:t>Qld Border Rivers</w:t>
            </w:r>
          </w:p>
        </w:tc>
        <w:tc>
          <w:tcPr>
            <w:tcW w:w="591" w:type="pct"/>
            <w:gridSpan w:val="2"/>
          </w:tcPr>
          <w:p w14:paraId="0FC29808" w14:textId="77777777" w:rsidR="003E0CFF" w:rsidRPr="00083C40" w:rsidRDefault="003E0CFF" w:rsidP="007722A9">
            <w:pPr>
              <w:pStyle w:val="TableText"/>
            </w:pPr>
            <w:r w:rsidRPr="00083C40">
              <w:t>Unsupplemented</w:t>
            </w:r>
          </w:p>
        </w:tc>
        <w:tc>
          <w:tcPr>
            <w:tcW w:w="708" w:type="pct"/>
            <w:gridSpan w:val="2"/>
          </w:tcPr>
          <w:p w14:paraId="0FC29809" w14:textId="1547E4B8" w:rsidR="003E0CFF" w:rsidRPr="00083C40" w:rsidRDefault="003E0CFF" w:rsidP="007722A9">
            <w:pPr>
              <w:pStyle w:val="TableText"/>
              <w:jc w:val="right"/>
            </w:pPr>
            <w:r w:rsidRPr="00083C40">
              <w:t>1 523</w:t>
            </w:r>
          </w:p>
        </w:tc>
        <w:tc>
          <w:tcPr>
            <w:tcW w:w="710" w:type="pct"/>
            <w:gridSpan w:val="2"/>
          </w:tcPr>
          <w:p w14:paraId="0FC2980A" w14:textId="50F49B79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12" w:type="pct"/>
          </w:tcPr>
          <w:p w14:paraId="0FC2980B" w14:textId="58E0B4A7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07" w:type="pct"/>
          </w:tcPr>
          <w:p w14:paraId="18437573" w14:textId="0600DC63" w:rsidR="003E0CFF" w:rsidRPr="00083C40" w:rsidRDefault="003E0CFF" w:rsidP="007722A9">
            <w:pPr>
              <w:pStyle w:val="TableText"/>
              <w:jc w:val="right"/>
            </w:pPr>
            <w:r>
              <w:t>2</w:t>
            </w:r>
          </w:p>
        </w:tc>
        <w:tc>
          <w:tcPr>
            <w:tcW w:w="707" w:type="pct"/>
            <w:shd w:val="clear" w:color="auto" w:fill="auto"/>
          </w:tcPr>
          <w:p w14:paraId="0FC2980C" w14:textId="7C605FAD" w:rsidR="003E0CFF" w:rsidRPr="00083C40" w:rsidRDefault="003E0CFF" w:rsidP="007722A9">
            <w:pPr>
              <w:pStyle w:val="TableText"/>
              <w:jc w:val="right"/>
            </w:pPr>
            <w:r w:rsidRPr="00083C40">
              <w:t>No listings</w:t>
            </w:r>
          </w:p>
        </w:tc>
      </w:tr>
      <w:tr w:rsidR="003E0CFF" w:rsidRPr="004B6C30" w14:paraId="0FC29814" w14:textId="77777777" w:rsidTr="007722A9">
        <w:tc>
          <w:tcPr>
            <w:tcW w:w="866" w:type="pct"/>
          </w:tcPr>
          <w:p w14:paraId="0FC2980E" w14:textId="5B571977" w:rsidR="003E0CFF" w:rsidRPr="00083C40" w:rsidRDefault="003E0CFF" w:rsidP="007722A9">
            <w:pPr>
              <w:pStyle w:val="TableText"/>
            </w:pPr>
            <w:r w:rsidRPr="00083C40">
              <w:t>Condamine–Balonne (St George)</w:t>
            </w:r>
          </w:p>
        </w:tc>
        <w:tc>
          <w:tcPr>
            <w:tcW w:w="591" w:type="pct"/>
            <w:gridSpan w:val="2"/>
          </w:tcPr>
          <w:p w14:paraId="0FC2980F" w14:textId="77777777" w:rsidR="003E0CFF" w:rsidRPr="00083C40" w:rsidRDefault="003E0CFF" w:rsidP="007722A9">
            <w:pPr>
              <w:pStyle w:val="TableText"/>
            </w:pPr>
            <w:r w:rsidRPr="00083C40">
              <w:t>Supplemented</w:t>
            </w:r>
          </w:p>
        </w:tc>
        <w:tc>
          <w:tcPr>
            <w:tcW w:w="708" w:type="pct"/>
            <w:gridSpan w:val="2"/>
          </w:tcPr>
          <w:p w14:paraId="0FC29810" w14:textId="011E4D70" w:rsidR="003E0CFF" w:rsidRPr="00083C40" w:rsidRDefault="003E0CFF" w:rsidP="007722A9">
            <w:pPr>
              <w:pStyle w:val="TableText"/>
              <w:jc w:val="right"/>
            </w:pPr>
            <w:r w:rsidRPr="00083C40">
              <w:t>1 180</w:t>
            </w:r>
          </w:p>
        </w:tc>
        <w:tc>
          <w:tcPr>
            <w:tcW w:w="710" w:type="pct"/>
            <w:gridSpan w:val="2"/>
          </w:tcPr>
          <w:p w14:paraId="0FC29811" w14:textId="126B0A45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12" w:type="pct"/>
          </w:tcPr>
          <w:p w14:paraId="0FC29812" w14:textId="517FF59F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07" w:type="pct"/>
          </w:tcPr>
          <w:p w14:paraId="0B04C815" w14:textId="6A136C26" w:rsidR="003E0CFF" w:rsidRPr="00083C40" w:rsidRDefault="003E0CFF" w:rsidP="007722A9">
            <w:pPr>
              <w:pStyle w:val="TableText"/>
              <w:jc w:val="right"/>
            </w:pPr>
            <w:r>
              <w:t>2</w:t>
            </w:r>
          </w:p>
        </w:tc>
        <w:tc>
          <w:tcPr>
            <w:tcW w:w="707" w:type="pct"/>
            <w:shd w:val="clear" w:color="auto" w:fill="auto"/>
          </w:tcPr>
          <w:p w14:paraId="0FC29813" w14:textId="6EFD6B28" w:rsidR="003E0CFF" w:rsidRPr="00083C40" w:rsidRDefault="003E0CFF" w:rsidP="007722A9">
            <w:pPr>
              <w:pStyle w:val="TableText"/>
              <w:jc w:val="right"/>
            </w:pPr>
            <w:r w:rsidRPr="00083C40">
              <w:t>No listings</w:t>
            </w:r>
          </w:p>
        </w:tc>
      </w:tr>
      <w:tr w:rsidR="003E0CFF" w:rsidRPr="004B6C30" w14:paraId="0FC2981B" w14:textId="77777777" w:rsidTr="007722A9">
        <w:tc>
          <w:tcPr>
            <w:tcW w:w="866" w:type="pct"/>
          </w:tcPr>
          <w:p w14:paraId="0FC29815" w14:textId="6583548C" w:rsidR="003E0CFF" w:rsidRPr="00083C40" w:rsidRDefault="003E0CFF" w:rsidP="007722A9">
            <w:pPr>
              <w:pStyle w:val="TableText"/>
            </w:pPr>
            <w:r w:rsidRPr="00083C40">
              <w:t>Condamine–Balonne (Condamine Balonne, Upper Condamine and Lower Balonne)</w:t>
            </w:r>
          </w:p>
        </w:tc>
        <w:tc>
          <w:tcPr>
            <w:tcW w:w="591" w:type="pct"/>
            <w:gridSpan w:val="2"/>
          </w:tcPr>
          <w:p w14:paraId="0FC29816" w14:textId="77777777" w:rsidR="003E0CFF" w:rsidRPr="00083C40" w:rsidRDefault="003E0CFF" w:rsidP="007722A9">
            <w:pPr>
              <w:pStyle w:val="TableText"/>
            </w:pPr>
            <w:r w:rsidRPr="00083C40">
              <w:t>Unsupplemented</w:t>
            </w:r>
          </w:p>
        </w:tc>
        <w:tc>
          <w:tcPr>
            <w:tcW w:w="708" w:type="pct"/>
            <w:gridSpan w:val="2"/>
          </w:tcPr>
          <w:p w14:paraId="0FC29817" w14:textId="094DCFE5" w:rsidR="003E0CFF" w:rsidRPr="00083C40" w:rsidRDefault="003E0CFF" w:rsidP="00342548">
            <w:pPr>
              <w:pStyle w:val="TableText"/>
              <w:jc w:val="right"/>
            </w:pPr>
            <w:r w:rsidRPr="00083C40">
              <w:t>1 </w:t>
            </w:r>
            <w:r>
              <w:t>3</w:t>
            </w:r>
            <w:r w:rsidR="00342548">
              <w:t>44</w:t>
            </w:r>
          </w:p>
        </w:tc>
        <w:tc>
          <w:tcPr>
            <w:tcW w:w="710" w:type="pct"/>
            <w:gridSpan w:val="2"/>
          </w:tcPr>
          <w:p w14:paraId="0FC29818" w14:textId="2CC195FC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12" w:type="pct"/>
          </w:tcPr>
          <w:p w14:paraId="0FC29819" w14:textId="383C1F9D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07" w:type="pct"/>
          </w:tcPr>
          <w:p w14:paraId="3220E715" w14:textId="3F6426EE" w:rsidR="003E0CFF" w:rsidRPr="00083C40" w:rsidRDefault="0065629D" w:rsidP="007722A9">
            <w:pPr>
              <w:pStyle w:val="TableText"/>
              <w:jc w:val="right"/>
            </w:pPr>
            <w:r>
              <w:t>7</w:t>
            </w:r>
          </w:p>
        </w:tc>
        <w:tc>
          <w:tcPr>
            <w:tcW w:w="707" w:type="pct"/>
            <w:shd w:val="clear" w:color="auto" w:fill="auto"/>
          </w:tcPr>
          <w:p w14:paraId="0FC2981A" w14:textId="517C8C58" w:rsidR="003E0CFF" w:rsidRPr="00083C40" w:rsidRDefault="003E0CFF" w:rsidP="007722A9">
            <w:pPr>
              <w:pStyle w:val="TableText"/>
              <w:jc w:val="right"/>
            </w:pPr>
            <w:r w:rsidRPr="00083C40">
              <w:t>No listings</w:t>
            </w:r>
          </w:p>
        </w:tc>
      </w:tr>
      <w:tr w:rsidR="003E0CFF" w:rsidRPr="004B6C30" w14:paraId="0FC29823" w14:textId="77777777" w:rsidTr="007722A9">
        <w:tc>
          <w:tcPr>
            <w:tcW w:w="866" w:type="pct"/>
          </w:tcPr>
          <w:p w14:paraId="0FC2981C" w14:textId="154B9C36" w:rsidR="003E0CFF" w:rsidRPr="00083C40" w:rsidRDefault="003E0CFF" w:rsidP="007722A9">
            <w:pPr>
              <w:pStyle w:val="TableText"/>
            </w:pPr>
            <w:r>
              <w:t>Central</w:t>
            </w:r>
            <w:r w:rsidRPr="00083C40">
              <w:t xml:space="preserve"> Condamine Alluvium</w:t>
            </w:r>
          </w:p>
        </w:tc>
        <w:tc>
          <w:tcPr>
            <w:tcW w:w="591" w:type="pct"/>
            <w:gridSpan w:val="2"/>
          </w:tcPr>
          <w:p w14:paraId="0FC2981E" w14:textId="1B4C7CDD" w:rsidR="003E0CFF" w:rsidRPr="00083C40" w:rsidRDefault="003E0CFF" w:rsidP="00546AAC">
            <w:pPr>
              <w:pStyle w:val="TableText"/>
            </w:pPr>
            <w:r w:rsidRPr="00083C40">
              <w:t>Groundwater</w:t>
            </w:r>
            <w:r w:rsidR="00546AAC">
              <w:t xml:space="preserve"> </w:t>
            </w:r>
            <w:r>
              <w:t>(Sub a</w:t>
            </w:r>
            <w:r w:rsidRPr="00083C40">
              <w:t>reas 1, 2, 3 and 4)</w:t>
            </w:r>
          </w:p>
        </w:tc>
        <w:tc>
          <w:tcPr>
            <w:tcW w:w="708" w:type="pct"/>
            <w:gridSpan w:val="2"/>
          </w:tcPr>
          <w:p w14:paraId="0FC2981F" w14:textId="675E317A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10" w:type="pct"/>
            <w:gridSpan w:val="2"/>
          </w:tcPr>
          <w:p w14:paraId="0FC29820" w14:textId="5C1609F0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12" w:type="pct"/>
          </w:tcPr>
          <w:p w14:paraId="0FC29821" w14:textId="048B132A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07" w:type="pct"/>
          </w:tcPr>
          <w:p w14:paraId="4E70D78B" w14:textId="386AB167" w:rsidR="003E0CFF" w:rsidRPr="00083C40" w:rsidRDefault="00546AAC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07" w:type="pct"/>
            <w:shd w:val="clear" w:color="auto" w:fill="auto"/>
          </w:tcPr>
          <w:p w14:paraId="0FC29822" w14:textId="334DE5AC" w:rsidR="003E0CFF" w:rsidRPr="00083C40" w:rsidRDefault="003E0CFF" w:rsidP="007722A9">
            <w:pPr>
              <w:pStyle w:val="TableText"/>
              <w:jc w:val="right"/>
            </w:pPr>
            <w:r w:rsidRPr="00083C40">
              <w:t>No listings</w:t>
            </w:r>
          </w:p>
        </w:tc>
      </w:tr>
      <w:tr w:rsidR="003E0CFF" w:rsidRPr="004B6C30" w14:paraId="057AE61C" w14:textId="77777777" w:rsidTr="007722A9">
        <w:tc>
          <w:tcPr>
            <w:tcW w:w="866" w:type="pct"/>
          </w:tcPr>
          <w:p w14:paraId="324ABFF1" w14:textId="10B490F2" w:rsidR="003E0CFF" w:rsidRPr="00083C40" w:rsidRDefault="003E0CFF" w:rsidP="007722A9">
            <w:pPr>
              <w:pStyle w:val="TableText"/>
            </w:pPr>
            <w:r>
              <w:t>Upper Condamine Alluvium</w:t>
            </w:r>
          </w:p>
        </w:tc>
        <w:tc>
          <w:tcPr>
            <w:tcW w:w="591" w:type="pct"/>
            <w:gridSpan w:val="2"/>
          </w:tcPr>
          <w:p w14:paraId="78B25D16" w14:textId="337F673A" w:rsidR="003E0CFF" w:rsidRDefault="003E0CFF" w:rsidP="00546AAC">
            <w:pPr>
              <w:pStyle w:val="TableText"/>
            </w:pPr>
            <w:r>
              <w:t>Groundwater</w:t>
            </w:r>
            <w:r w:rsidR="00546AAC">
              <w:t xml:space="preserve"> </w:t>
            </w:r>
            <w:r>
              <w:t>(Dalrymple Creek)</w:t>
            </w:r>
          </w:p>
        </w:tc>
        <w:tc>
          <w:tcPr>
            <w:tcW w:w="708" w:type="pct"/>
            <w:gridSpan w:val="2"/>
          </w:tcPr>
          <w:p w14:paraId="6DA9FB57" w14:textId="1934A799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10" w:type="pct"/>
            <w:gridSpan w:val="2"/>
          </w:tcPr>
          <w:p w14:paraId="2D1C3D74" w14:textId="140E53C7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12" w:type="pct"/>
          </w:tcPr>
          <w:p w14:paraId="2F6E66EE" w14:textId="04B0BFCE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07" w:type="pct"/>
          </w:tcPr>
          <w:p w14:paraId="43B482F8" w14:textId="70249F3F" w:rsidR="003E0CFF" w:rsidRPr="00083C40" w:rsidRDefault="00546AAC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07" w:type="pct"/>
            <w:shd w:val="clear" w:color="auto" w:fill="auto"/>
          </w:tcPr>
          <w:p w14:paraId="396F7F7E" w14:textId="5A09C417" w:rsidR="003E0CFF" w:rsidRPr="00083C40" w:rsidRDefault="003E0CFF" w:rsidP="007722A9">
            <w:pPr>
              <w:pStyle w:val="TableText"/>
              <w:jc w:val="right"/>
            </w:pPr>
            <w:r w:rsidRPr="00083C40">
              <w:t>No listings</w:t>
            </w:r>
          </w:p>
        </w:tc>
      </w:tr>
      <w:tr w:rsidR="003E0CFF" w:rsidRPr="004B6C30" w14:paraId="2735A720" w14:textId="77777777" w:rsidTr="007722A9">
        <w:tc>
          <w:tcPr>
            <w:tcW w:w="866" w:type="pct"/>
          </w:tcPr>
          <w:p w14:paraId="30441A28" w14:textId="4CA51EF4" w:rsidR="003E0CFF" w:rsidRPr="00083C40" w:rsidRDefault="003E0CFF" w:rsidP="007722A9">
            <w:pPr>
              <w:pStyle w:val="TableText"/>
            </w:pPr>
            <w:r>
              <w:t>Upper Condamine Alluvium</w:t>
            </w:r>
          </w:p>
        </w:tc>
        <w:tc>
          <w:tcPr>
            <w:tcW w:w="591" w:type="pct"/>
            <w:gridSpan w:val="2"/>
          </w:tcPr>
          <w:p w14:paraId="3FAC4FD7" w14:textId="7A52ABAB" w:rsidR="003E0CFF" w:rsidRDefault="003E0CFF" w:rsidP="00546AAC">
            <w:pPr>
              <w:pStyle w:val="TableText"/>
            </w:pPr>
            <w:r>
              <w:t>Groundwater</w:t>
            </w:r>
            <w:r w:rsidR="00546AAC">
              <w:t xml:space="preserve"> </w:t>
            </w:r>
            <w:r>
              <w:t>(Oakey Creek)</w:t>
            </w:r>
          </w:p>
        </w:tc>
        <w:tc>
          <w:tcPr>
            <w:tcW w:w="708" w:type="pct"/>
            <w:gridSpan w:val="2"/>
          </w:tcPr>
          <w:p w14:paraId="507FC6BE" w14:textId="0A639EB8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10" w:type="pct"/>
            <w:gridSpan w:val="2"/>
          </w:tcPr>
          <w:p w14:paraId="50F8467B" w14:textId="2ACCB709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12" w:type="pct"/>
          </w:tcPr>
          <w:p w14:paraId="5FB4C642" w14:textId="0A96A4F9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07" w:type="pct"/>
          </w:tcPr>
          <w:p w14:paraId="50AD6C16" w14:textId="47FE2421" w:rsidR="003E0CFF" w:rsidRPr="00083C40" w:rsidRDefault="00546AAC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07" w:type="pct"/>
            <w:shd w:val="clear" w:color="auto" w:fill="auto"/>
          </w:tcPr>
          <w:p w14:paraId="3526A932" w14:textId="7F112B0C" w:rsidR="003E0CFF" w:rsidRPr="00083C40" w:rsidRDefault="003E0CFF" w:rsidP="007722A9">
            <w:pPr>
              <w:pStyle w:val="TableText"/>
              <w:jc w:val="right"/>
            </w:pPr>
            <w:r w:rsidRPr="00083C40">
              <w:t>No listings</w:t>
            </w:r>
          </w:p>
        </w:tc>
      </w:tr>
      <w:tr w:rsidR="003E0CFF" w:rsidRPr="004B6C30" w14:paraId="0FC2982A" w14:textId="77777777" w:rsidTr="007722A9">
        <w:tc>
          <w:tcPr>
            <w:tcW w:w="866" w:type="pct"/>
          </w:tcPr>
          <w:p w14:paraId="0FC29824" w14:textId="77777777" w:rsidR="003E0CFF" w:rsidRPr="00083C40" w:rsidRDefault="003E0CFF" w:rsidP="007722A9">
            <w:pPr>
              <w:pStyle w:val="TableText"/>
            </w:pPr>
            <w:r w:rsidRPr="00083C40">
              <w:t>Lower Balonne</w:t>
            </w:r>
          </w:p>
        </w:tc>
        <w:tc>
          <w:tcPr>
            <w:tcW w:w="591" w:type="pct"/>
            <w:gridSpan w:val="2"/>
          </w:tcPr>
          <w:p w14:paraId="0FC29825" w14:textId="181D2E4F" w:rsidR="003E0CFF" w:rsidRPr="00083C40" w:rsidRDefault="003E0CFF" w:rsidP="007722A9">
            <w:pPr>
              <w:pStyle w:val="TableText"/>
            </w:pPr>
            <w:r>
              <w:t>Overland f</w:t>
            </w:r>
            <w:r w:rsidRPr="00083C40">
              <w:t>low</w:t>
            </w:r>
          </w:p>
        </w:tc>
        <w:tc>
          <w:tcPr>
            <w:tcW w:w="708" w:type="pct"/>
            <w:gridSpan w:val="2"/>
          </w:tcPr>
          <w:p w14:paraId="0FC29826" w14:textId="30AE0FEF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10" w:type="pct"/>
            <w:gridSpan w:val="2"/>
          </w:tcPr>
          <w:p w14:paraId="0FC29827" w14:textId="1B3DC8F0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12" w:type="pct"/>
          </w:tcPr>
          <w:p w14:paraId="0FC29828" w14:textId="70AF6D98" w:rsidR="003E0CFF" w:rsidRPr="00083C40" w:rsidRDefault="003E0CFF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07" w:type="pct"/>
          </w:tcPr>
          <w:p w14:paraId="4AC4362C" w14:textId="7BBCE392" w:rsidR="003E0CFF" w:rsidRPr="00083C40" w:rsidRDefault="00546AAC" w:rsidP="007722A9">
            <w:pPr>
              <w:pStyle w:val="TableText"/>
              <w:jc w:val="right"/>
            </w:pPr>
            <w:r w:rsidRPr="00083C40">
              <w:t>–</w:t>
            </w:r>
          </w:p>
        </w:tc>
        <w:tc>
          <w:tcPr>
            <w:tcW w:w="707" w:type="pct"/>
            <w:shd w:val="clear" w:color="auto" w:fill="auto"/>
          </w:tcPr>
          <w:p w14:paraId="0FC29829" w14:textId="28186415" w:rsidR="003E0CFF" w:rsidRPr="00083C40" w:rsidRDefault="003E0CFF" w:rsidP="007722A9">
            <w:pPr>
              <w:pStyle w:val="TableText"/>
              <w:jc w:val="right"/>
            </w:pPr>
            <w:r w:rsidRPr="00083C40">
              <w:t>No listings</w:t>
            </w:r>
          </w:p>
        </w:tc>
      </w:tr>
    </w:tbl>
    <w:p w14:paraId="6B6C899F" w14:textId="03F55FF3" w:rsidR="00733EB2" w:rsidRPr="003B16DA" w:rsidRDefault="00733EB2" w:rsidP="00733EB2">
      <w:pPr>
        <w:pStyle w:val="Table-FigureNote"/>
        <w:tabs>
          <w:tab w:val="left" w:pos="284"/>
        </w:tabs>
      </w:pPr>
      <w:r>
        <w:t>a</w:t>
      </w:r>
      <w:r w:rsidR="00546AAC">
        <w:t xml:space="preserve"> </w:t>
      </w:r>
      <w:r w:rsidRPr="00FD5FBE">
        <w:t xml:space="preserve">Water </w:t>
      </w:r>
      <w:r>
        <w:t>intermediary</w:t>
      </w:r>
      <w:r w:rsidRPr="00FD5FBE">
        <w:t xml:space="preserve"> prices </w:t>
      </w:r>
      <w:r>
        <w:t>reflect the range of</w:t>
      </w:r>
      <w:r w:rsidRPr="00FD5FBE">
        <w:t xml:space="preserve"> spot prices </w:t>
      </w:r>
      <w:r>
        <w:t xml:space="preserve">that were </w:t>
      </w:r>
      <w:r w:rsidRPr="00FD5FBE">
        <w:t xml:space="preserve">listed on water intermediary </w:t>
      </w:r>
      <w:r>
        <w:t xml:space="preserve">(exchange and broker) </w:t>
      </w:r>
      <w:r w:rsidRPr="00FD5FBE">
        <w:t>websites</w:t>
      </w:r>
      <w:r>
        <w:t xml:space="preserve"> in June–July 2016.</w:t>
      </w:r>
    </w:p>
    <w:p w14:paraId="6967A0F6" w14:textId="194EC98E" w:rsidR="006B4042" w:rsidRDefault="00F561EE" w:rsidP="00546AAC">
      <w:pPr>
        <w:pStyle w:val="Table-FigureNote"/>
      </w:pPr>
      <w:r w:rsidRPr="00F561EE">
        <w:t>Note</w:t>
      </w:r>
      <w:r w:rsidR="003C74A1" w:rsidRPr="00F561EE">
        <w:t>: Data in this report is collected from publicly available sources</w:t>
      </w:r>
      <w:r w:rsidR="00733EB2">
        <w:t>,</w:t>
      </w:r>
      <w:r w:rsidR="003C74A1" w:rsidRPr="00F561EE">
        <w:t xml:space="preserve"> such as water registers and water intermediary website.</w:t>
      </w:r>
      <w:r w:rsidR="006B4042">
        <w:t xml:space="preserve"> </w:t>
      </w:r>
      <w:r w:rsidR="003C74A1" w:rsidRPr="00F561EE">
        <w:t>The data is indicative only and may be incomplete.</w:t>
      </w:r>
      <w:r w:rsidR="006B4042">
        <w:t xml:space="preserve"> </w:t>
      </w:r>
      <w:r w:rsidR="003C74A1" w:rsidRPr="00F561EE">
        <w:t xml:space="preserve">Marsden Jacob Associates accepts no responsibility for the accuracy of the data </w:t>
      </w:r>
      <w:r w:rsidR="00594817">
        <w:t>or</w:t>
      </w:r>
      <w:r w:rsidR="003C74A1" w:rsidRPr="00F561EE">
        <w:t xml:space="preserve"> for any use of the data.</w:t>
      </w:r>
      <w:bookmarkEnd w:id="0"/>
    </w:p>
    <w:sectPr w:rsidR="006B4042" w:rsidSect="006E2906">
      <w:headerReference w:type="default" r:id="rId15"/>
      <w:footerReference w:type="default" r:id="rId16"/>
      <w:pgSz w:w="16838" w:h="11906" w:orient="landscape"/>
      <w:pgMar w:top="1276" w:right="709" w:bottom="70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0548F" w14:textId="77777777" w:rsidR="00142350" w:rsidRDefault="00142350" w:rsidP="005927B0">
      <w:pPr>
        <w:spacing w:after="0" w:line="240" w:lineRule="auto"/>
      </w:pPr>
      <w:r>
        <w:separator/>
      </w:r>
    </w:p>
  </w:endnote>
  <w:endnote w:type="continuationSeparator" w:id="0">
    <w:p w14:paraId="204C3867" w14:textId="77777777" w:rsidR="00142350" w:rsidRDefault="00142350" w:rsidP="00592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3691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A7446" w14:textId="3BBD7028" w:rsidR="00B8052D" w:rsidRDefault="00B8052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8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BAA29" w14:textId="77777777" w:rsidR="00142350" w:rsidRDefault="00142350" w:rsidP="005927B0">
      <w:pPr>
        <w:spacing w:after="0" w:line="240" w:lineRule="auto"/>
      </w:pPr>
      <w:r>
        <w:separator/>
      </w:r>
    </w:p>
  </w:footnote>
  <w:footnote w:type="continuationSeparator" w:id="0">
    <w:p w14:paraId="0CF4E25F" w14:textId="77777777" w:rsidR="00142350" w:rsidRDefault="00142350" w:rsidP="00592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29831" w14:textId="77777777" w:rsidR="006B029C" w:rsidRDefault="006B029C" w:rsidP="005927B0">
    <w:pPr>
      <w:pStyle w:val="Header"/>
      <w:jc w:val="right"/>
    </w:pPr>
    <w:r w:rsidRPr="00C96593">
      <w:rPr>
        <w:noProof/>
      </w:rPr>
      <w:drawing>
        <wp:inline distT="0" distB="0" distL="0" distR="0" wp14:anchorId="0FC29832" wp14:editId="0FC29833">
          <wp:extent cx="2903220" cy="312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22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43690"/>
    <w:multiLevelType w:val="hybridMultilevel"/>
    <w:tmpl w:val="F83A845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4345D1"/>
    <w:multiLevelType w:val="singleLevel"/>
    <w:tmpl w:val="3C02756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3D0"/>
      </w:rPr>
    </w:lvl>
  </w:abstractNum>
  <w:abstractNum w:abstractNumId="2" w15:restartNumberingAfterBreak="0">
    <w:nsid w:val="5A635AA6"/>
    <w:multiLevelType w:val="hybridMultilevel"/>
    <w:tmpl w:val="12AA7D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052322"/>
    <w:multiLevelType w:val="hybridMultilevel"/>
    <w:tmpl w:val="0D6A204E"/>
    <w:lvl w:ilvl="0" w:tplc="3C0275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3D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B0"/>
    <w:rsid w:val="00000968"/>
    <w:rsid w:val="000028FA"/>
    <w:rsid w:val="00005B99"/>
    <w:rsid w:val="000109F1"/>
    <w:rsid w:val="000129EC"/>
    <w:rsid w:val="000160A5"/>
    <w:rsid w:val="00016B5D"/>
    <w:rsid w:val="00020074"/>
    <w:rsid w:val="00020EDF"/>
    <w:rsid w:val="000237D4"/>
    <w:rsid w:val="000241F3"/>
    <w:rsid w:val="00027CEB"/>
    <w:rsid w:val="00030284"/>
    <w:rsid w:val="000361D5"/>
    <w:rsid w:val="000362FF"/>
    <w:rsid w:val="0003668E"/>
    <w:rsid w:val="0004047B"/>
    <w:rsid w:val="00041B20"/>
    <w:rsid w:val="000447A6"/>
    <w:rsid w:val="000558E0"/>
    <w:rsid w:val="00060166"/>
    <w:rsid w:val="00064490"/>
    <w:rsid w:val="000658B5"/>
    <w:rsid w:val="00066D3B"/>
    <w:rsid w:val="00067324"/>
    <w:rsid w:val="000722A6"/>
    <w:rsid w:val="000756AC"/>
    <w:rsid w:val="000806F0"/>
    <w:rsid w:val="000809E4"/>
    <w:rsid w:val="00082267"/>
    <w:rsid w:val="00083C40"/>
    <w:rsid w:val="000853F7"/>
    <w:rsid w:val="0009631B"/>
    <w:rsid w:val="000A5DC2"/>
    <w:rsid w:val="000A6C66"/>
    <w:rsid w:val="000A75B9"/>
    <w:rsid w:val="000B217C"/>
    <w:rsid w:val="000B5474"/>
    <w:rsid w:val="000C53FE"/>
    <w:rsid w:val="000D41E8"/>
    <w:rsid w:val="000D4341"/>
    <w:rsid w:val="000D43DC"/>
    <w:rsid w:val="000D5153"/>
    <w:rsid w:val="000D6C4A"/>
    <w:rsid w:val="000E0546"/>
    <w:rsid w:val="000E1336"/>
    <w:rsid w:val="000E3A42"/>
    <w:rsid w:val="000E5A40"/>
    <w:rsid w:val="000E6E9D"/>
    <w:rsid w:val="000F370D"/>
    <w:rsid w:val="000F7D57"/>
    <w:rsid w:val="000F7E99"/>
    <w:rsid w:val="0010186C"/>
    <w:rsid w:val="00102A10"/>
    <w:rsid w:val="00102BA8"/>
    <w:rsid w:val="00113E15"/>
    <w:rsid w:val="00113E96"/>
    <w:rsid w:val="00116C73"/>
    <w:rsid w:val="001209D4"/>
    <w:rsid w:val="00125AC1"/>
    <w:rsid w:val="00133DF5"/>
    <w:rsid w:val="001342F1"/>
    <w:rsid w:val="00134966"/>
    <w:rsid w:val="00137216"/>
    <w:rsid w:val="00140161"/>
    <w:rsid w:val="00142350"/>
    <w:rsid w:val="0014767D"/>
    <w:rsid w:val="00150880"/>
    <w:rsid w:val="0015241A"/>
    <w:rsid w:val="00155655"/>
    <w:rsid w:val="00160560"/>
    <w:rsid w:val="00160818"/>
    <w:rsid w:val="001611BD"/>
    <w:rsid w:val="0016209F"/>
    <w:rsid w:val="00164D75"/>
    <w:rsid w:val="001656B3"/>
    <w:rsid w:val="00166085"/>
    <w:rsid w:val="00167E1E"/>
    <w:rsid w:val="00167E94"/>
    <w:rsid w:val="001709F9"/>
    <w:rsid w:val="001728DD"/>
    <w:rsid w:val="00174FC1"/>
    <w:rsid w:val="00181456"/>
    <w:rsid w:val="00181649"/>
    <w:rsid w:val="00187B04"/>
    <w:rsid w:val="00187C52"/>
    <w:rsid w:val="00191997"/>
    <w:rsid w:val="0019485E"/>
    <w:rsid w:val="00194A7D"/>
    <w:rsid w:val="001957D0"/>
    <w:rsid w:val="001A5027"/>
    <w:rsid w:val="001A5161"/>
    <w:rsid w:val="001B4642"/>
    <w:rsid w:val="001B6D0F"/>
    <w:rsid w:val="001C2F1E"/>
    <w:rsid w:val="001C3408"/>
    <w:rsid w:val="001C39C2"/>
    <w:rsid w:val="001D2E3A"/>
    <w:rsid w:val="001D6F2B"/>
    <w:rsid w:val="001D76D4"/>
    <w:rsid w:val="001E04F3"/>
    <w:rsid w:val="001E4981"/>
    <w:rsid w:val="001E728A"/>
    <w:rsid w:val="001F3302"/>
    <w:rsid w:val="001F5774"/>
    <w:rsid w:val="001F63AB"/>
    <w:rsid w:val="00202A02"/>
    <w:rsid w:val="00202C80"/>
    <w:rsid w:val="002111ED"/>
    <w:rsid w:val="00212881"/>
    <w:rsid w:val="002144AA"/>
    <w:rsid w:val="0021508C"/>
    <w:rsid w:val="002158E4"/>
    <w:rsid w:val="002171DD"/>
    <w:rsid w:val="002209C7"/>
    <w:rsid w:val="00221683"/>
    <w:rsid w:val="00230313"/>
    <w:rsid w:val="0023228B"/>
    <w:rsid w:val="00234858"/>
    <w:rsid w:val="0023653A"/>
    <w:rsid w:val="00243A66"/>
    <w:rsid w:val="002503DA"/>
    <w:rsid w:val="0025513C"/>
    <w:rsid w:val="00255E0B"/>
    <w:rsid w:val="0025702A"/>
    <w:rsid w:val="002644D8"/>
    <w:rsid w:val="0026552D"/>
    <w:rsid w:val="0026692D"/>
    <w:rsid w:val="0027025B"/>
    <w:rsid w:val="00271E29"/>
    <w:rsid w:val="002721C1"/>
    <w:rsid w:val="00272517"/>
    <w:rsid w:val="002730FC"/>
    <w:rsid w:val="0027409C"/>
    <w:rsid w:val="002757D0"/>
    <w:rsid w:val="00280793"/>
    <w:rsid w:val="00284177"/>
    <w:rsid w:val="00287A2F"/>
    <w:rsid w:val="002955EE"/>
    <w:rsid w:val="00297934"/>
    <w:rsid w:val="002A2157"/>
    <w:rsid w:val="002A32DC"/>
    <w:rsid w:val="002A494B"/>
    <w:rsid w:val="002A772F"/>
    <w:rsid w:val="002B0A48"/>
    <w:rsid w:val="002B106C"/>
    <w:rsid w:val="002B35FD"/>
    <w:rsid w:val="002B477E"/>
    <w:rsid w:val="002B73F5"/>
    <w:rsid w:val="002C0B79"/>
    <w:rsid w:val="002C1F87"/>
    <w:rsid w:val="002C2984"/>
    <w:rsid w:val="002C6B71"/>
    <w:rsid w:val="002C7AAD"/>
    <w:rsid w:val="002D24CD"/>
    <w:rsid w:val="002D44BE"/>
    <w:rsid w:val="002D65A6"/>
    <w:rsid w:val="002D6C34"/>
    <w:rsid w:val="002E4C6C"/>
    <w:rsid w:val="002E4E95"/>
    <w:rsid w:val="00301C9E"/>
    <w:rsid w:val="003024BC"/>
    <w:rsid w:val="00302F63"/>
    <w:rsid w:val="0030335C"/>
    <w:rsid w:val="0030696A"/>
    <w:rsid w:val="00311EA4"/>
    <w:rsid w:val="00313A02"/>
    <w:rsid w:val="0031438A"/>
    <w:rsid w:val="00320269"/>
    <w:rsid w:val="0032239C"/>
    <w:rsid w:val="00324B8B"/>
    <w:rsid w:val="003257C9"/>
    <w:rsid w:val="00330B7A"/>
    <w:rsid w:val="00331C0F"/>
    <w:rsid w:val="003330DF"/>
    <w:rsid w:val="003371E8"/>
    <w:rsid w:val="00342548"/>
    <w:rsid w:val="0034398F"/>
    <w:rsid w:val="0034473D"/>
    <w:rsid w:val="0034531A"/>
    <w:rsid w:val="0035682C"/>
    <w:rsid w:val="00356DDC"/>
    <w:rsid w:val="003670E3"/>
    <w:rsid w:val="003679CE"/>
    <w:rsid w:val="003679E9"/>
    <w:rsid w:val="003701CB"/>
    <w:rsid w:val="003701EA"/>
    <w:rsid w:val="00372DFD"/>
    <w:rsid w:val="003730BE"/>
    <w:rsid w:val="003744E8"/>
    <w:rsid w:val="0037672B"/>
    <w:rsid w:val="003806BC"/>
    <w:rsid w:val="00381125"/>
    <w:rsid w:val="0038386B"/>
    <w:rsid w:val="003851DA"/>
    <w:rsid w:val="003929E3"/>
    <w:rsid w:val="00393473"/>
    <w:rsid w:val="00396CD1"/>
    <w:rsid w:val="003974C9"/>
    <w:rsid w:val="003A0109"/>
    <w:rsid w:val="003A2883"/>
    <w:rsid w:val="003A2C62"/>
    <w:rsid w:val="003A33B4"/>
    <w:rsid w:val="003A62E1"/>
    <w:rsid w:val="003A640B"/>
    <w:rsid w:val="003B16DA"/>
    <w:rsid w:val="003B1FB0"/>
    <w:rsid w:val="003B1FBF"/>
    <w:rsid w:val="003C3B67"/>
    <w:rsid w:val="003C74A1"/>
    <w:rsid w:val="003D2FD1"/>
    <w:rsid w:val="003D3E7C"/>
    <w:rsid w:val="003D616C"/>
    <w:rsid w:val="003D76F2"/>
    <w:rsid w:val="003E0CFF"/>
    <w:rsid w:val="003E46E5"/>
    <w:rsid w:val="003F2574"/>
    <w:rsid w:val="003F3F26"/>
    <w:rsid w:val="00400B97"/>
    <w:rsid w:val="00400E57"/>
    <w:rsid w:val="00401226"/>
    <w:rsid w:val="00401A34"/>
    <w:rsid w:val="00405DEF"/>
    <w:rsid w:val="004128E3"/>
    <w:rsid w:val="00412D8A"/>
    <w:rsid w:val="00414D87"/>
    <w:rsid w:val="004211AE"/>
    <w:rsid w:val="004307BD"/>
    <w:rsid w:val="00430A5B"/>
    <w:rsid w:val="004368F8"/>
    <w:rsid w:val="00442859"/>
    <w:rsid w:val="00443522"/>
    <w:rsid w:val="00453D83"/>
    <w:rsid w:val="00453EE7"/>
    <w:rsid w:val="00454C6A"/>
    <w:rsid w:val="00462B74"/>
    <w:rsid w:val="00462BE2"/>
    <w:rsid w:val="00466C67"/>
    <w:rsid w:val="004709E3"/>
    <w:rsid w:val="00473A56"/>
    <w:rsid w:val="00473A8E"/>
    <w:rsid w:val="00477FE7"/>
    <w:rsid w:val="004806C4"/>
    <w:rsid w:val="004829DE"/>
    <w:rsid w:val="0048363D"/>
    <w:rsid w:val="00483E4E"/>
    <w:rsid w:val="00485796"/>
    <w:rsid w:val="00487A6C"/>
    <w:rsid w:val="00490003"/>
    <w:rsid w:val="004972E0"/>
    <w:rsid w:val="004977AB"/>
    <w:rsid w:val="004A0A59"/>
    <w:rsid w:val="004A351E"/>
    <w:rsid w:val="004A4D8C"/>
    <w:rsid w:val="004A668A"/>
    <w:rsid w:val="004B2477"/>
    <w:rsid w:val="004B4AD6"/>
    <w:rsid w:val="004B6309"/>
    <w:rsid w:val="004B6C30"/>
    <w:rsid w:val="004C19BF"/>
    <w:rsid w:val="004C6B7C"/>
    <w:rsid w:val="004D08A2"/>
    <w:rsid w:val="004D224A"/>
    <w:rsid w:val="004D23E5"/>
    <w:rsid w:val="004D5638"/>
    <w:rsid w:val="004D667B"/>
    <w:rsid w:val="004D7FD9"/>
    <w:rsid w:val="004E3086"/>
    <w:rsid w:val="004E3FD4"/>
    <w:rsid w:val="004F15B4"/>
    <w:rsid w:val="004F34AC"/>
    <w:rsid w:val="004F362B"/>
    <w:rsid w:val="004F5F78"/>
    <w:rsid w:val="004F6E4A"/>
    <w:rsid w:val="0050258E"/>
    <w:rsid w:val="00503642"/>
    <w:rsid w:val="00505600"/>
    <w:rsid w:val="00511418"/>
    <w:rsid w:val="00512356"/>
    <w:rsid w:val="005172B1"/>
    <w:rsid w:val="00522525"/>
    <w:rsid w:val="00522D29"/>
    <w:rsid w:val="005248A7"/>
    <w:rsid w:val="00530635"/>
    <w:rsid w:val="0053155D"/>
    <w:rsid w:val="00531BDE"/>
    <w:rsid w:val="005343F7"/>
    <w:rsid w:val="00535408"/>
    <w:rsid w:val="00541A16"/>
    <w:rsid w:val="00543961"/>
    <w:rsid w:val="00546AAC"/>
    <w:rsid w:val="00546C63"/>
    <w:rsid w:val="00550AAA"/>
    <w:rsid w:val="0055236E"/>
    <w:rsid w:val="00552BD0"/>
    <w:rsid w:val="005547FF"/>
    <w:rsid w:val="005557F3"/>
    <w:rsid w:val="00561DF6"/>
    <w:rsid w:val="00561E57"/>
    <w:rsid w:val="005638F6"/>
    <w:rsid w:val="00572021"/>
    <w:rsid w:val="00573847"/>
    <w:rsid w:val="00573B8C"/>
    <w:rsid w:val="005776FF"/>
    <w:rsid w:val="00580BB5"/>
    <w:rsid w:val="00582E7A"/>
    <w:rsid w:val="005837BD"/>
    <w:rsid w:val="00585470"/>
    <w:rsid w:val="00585B37"/>
    <w:rsid w:val="00587E26"/>
    <w:rsid w:val="005927B0"/>
    <w:rsid w:val="00594817"/>
    <w:rsid w:val="005A0C29"/>
    <w:rsid w:val="005A1078"/>
    <w:rsid w:val="005A6F49"/>
    <w:rsid w:val="005A7566"/>
    <w:rsid w:val="005B0667"/>
    <w:rsid w:val="005B1442"/>
    <w:rsid w:val="005B5F0A"/>
    <w:rsid w:val="005B6A4B"/>
    <w:rsid w:val="005C0430"/>
    <w:rsid w:val="005C133C"/>
    <w:rsid w:val="005C241E"/>
    <w:rsid w:val="005C5FE1"/>
    <w:rsid w:val="005C652E"/>
    <w:rsid w:val="005C7062"/>
    <w:rsid w:val="005D0CB6"/>
    <w:rsid w:val="005D3465"/>
    <w:rsid w:val="005D44B5"/>
    <w:rsid w:val="005D4899"/>
    <w:rsid w:val="005E0403"/>
    <w:rsid w:val="005E1AA2"/>
    <w:rsid w:val="005E7D98"/>
    <w:rsid w:val="005F02E3"/>
    <w:rsid w:val="005F0DFD"/>
    <w:rsid w:val="00600B61"/>
    <w:rsid w:val="00600D90"/>
    <w:rsid w:val="0060214C"/>
    <w:rsid w:val="00604FE9"/>
    <w:rsid w:val="0060576B"/>
    <w:rsid w:val="006062D4"/>
    <w:rsid w:val="00607C81"/>
    <w:rsid w:val="00611800"/>
    <w:rsid w:val="00615C50"/>
    <w:rsid w:val="006248C7"/>
    <w:rsid w:val="00630AFD"/>
    <w:rsid w:val="00633FF2"/>
    <w:rsid w:val="006354DA"/>
    <w:rsid w:val="00640365"/>
    <w:rsid w:val="006423B7"/>
    <w:rsid w:val="00647CF5"/>
    <w:rsid w:val="006505C3"/>
    <w:rsid w:val="00650DA9"/>
    <w:rsid w:val="00650F75"/>
    <w:rsid w:val="00651888"/>
    <w:rsid w:val="0065292B"/>
    <w:rsid w:val="00654E29"/>
    <w:rsid w:val="0065629D"/>
    <w:rsid w:val="006567DC"/>
    <w:rsid w:val="00662E27"/>
    <w:rsid w:val="0067134F"/>
    <w:rsid w:val="0067496B"/>
    <w:rsid w:val="006750D1"/>
    <w:rsid w:val="006765D1"/>
    <w:rsid w:val="006810DA"/>
    <w:rsid w:val="00681EEC"/>
    <w:rsid w:val="00682FE2"/>
    <w:rsid w:val="006830C8"/>
    <w:rsid w:val="00683A61"/>
    <w:rsid w:val="00683AF9"/>
    <w:rsid w:val="0068405B"/>
    <w:rsid w:val="006843CC"/>
    <w:rsid w:val="0068664A"/>
    <w:rsid w:val="0068757E"/>
    <w:rsid w:val="006915AE"/>
    <w:rsid w:val="006945F2"/>
    <w:rsid w:val="00697A29"/>
    <w:rsid w:val="006A3CE6"/>
    <w:rsid w:val="006A530D"/>
    <w:rsid w:val="006A65FC"/>
    <w:rsid w:val="006B029C"/>
    <w:rsid w:val="006B2626"/>
    <w:rsid w:val="006B402D"/>
    <w:rsid w:val="006B4042"/>
    <w:rsid w:val="006B4113"/>
    <w:rsid w:val="006C1392"/>
    <w:rsid w:val="006C1D0A"/>
    <w:rsid w:val="006C4587"/>
    <w:rsid w:val="006D0E6C"/>
    <w:rsid w:val="006D4283"/>
    <w:rsid w:val="006E0333"/>
    <w:rsid w:val="006E0AD9"/>
    <w:rsid w:val="006E275C"/>
    <w:rsid w:val="006E2906"/>
    <w:rsid w:val="006E5681"/>
    <w:rsid w:val="006E5E5F"/>
    <w:rsid w:val="006E615B"/>
    <w:rsid w:val="006F1D16"/>
    <w:rsid w:val="006F23B0"/>
    <w:rsid w:val="006F240C"/>
    <w:rsid w:val="006F5FCD"/>
    <w:rsid w:val="00703AD4"/>
    <w:rsid w:val="00704912"/>
    <w:rsid w:val="00704E58"/>
    <w:rsid w:val="007056D0"/>
    <w:rsid w:val="00705A18"/>
    <w:rsid w:val="00706ADD"/>
    <w:rsid w:val="00717AC9"/>
    <w:rsid w:val="007240EF"/>
    <w:rsid w:val="00727334"/>
    <w:rsid w:val="007278A8"/>
    <w:rsid w:val="007302DF"/>
    <w:rsid w:val="00731E19"/>
    <w:rsid w:val="007327DC"/>
    <w:rsid w:val="00733EB2"/>
    <w:rsid w:val="00737B92"/>
    <w:rsid w:val="00740739"/>
    <w:rsid w:val="00741437"/>
    <w:rsid w:val="00750436"/>
    <w:rsid w:val="00750478"/>
    <w:rsid w:val="007517AE"/>
    <w:rsid w:val="007603F9"/>
    <w:rsid w:val="007608D1"/>
    <w:rsid w:val="0076376B"/>
    <w:rsid w:val="00765975"/>
    <w:rsid w:val="00770A20"/>
    <w:rsid w:val="007722A9"/>
    <w:rsid w:val="00772DA9"/>
    <w:rsid w:val="007754CD"/>
    <w:rsid w:val="00784111"/>
    <w:rsid w:val="00787B7D"/>
    <w:rsid w:val="0079000A"/>
    <w:rsid w:val="0079289C"/>
    <w:rsid w:val="00793094"/>
    <w:rsid w:val="00794C1F"/>
    <w:rsid w:val="007A51AB"/>
    <w:rsid w:val="007A5382"/>
    <w:rsid w:val="007A7C5F"/>
    <w:rsid w:val="007B091D"/>
    <w:rsid w:val="007B346E"/>
    <w:rsid w:val="007B5318"/>
    <w:rsid w:val="007B7316"/>
    <w:rsid w:val="007B7D19"/>
    <w:rsid w:val="007C273D"/>
    <w:rsid w:val="007C2D18"/>
    <w:rsid w:val="007C48B8"/>
    <w:rsid w:val="007C6AFF"/>
    <w:rsid w:val="007D05C3"/>
    <w:rsid w:val="007D2403"/>
    <w:rsid w:val="007D2F57"/>
    <w:rsid w:val="007D476D"/>
    <w:rsid w:val="007E0D61"/>
    <w:rsid w:val="007E2276"/>
    <w:rsid w:val="007E2C01"/>
    <w:rsid w:val="007E408C"/>
    <w:rsid w:val="007E5B3A"/>
    <w:rsid w:val="007E6630"/>
    <w:rsid w:val="007E6A72"/>
    <w:rsid w:val="007F028E"/>
    <w:rsid w:val="007F16F0"/>
    <w:rsid w:val="007F1A2A"/>
    <w:rsid w:val="007F4DCA"/>
    <w:rsid w:val="008024AB"/>
    <w:rsid w:val="008033A5"/>
    <w:rsid w:val="008051F3"/>
    <w:rsid w:val="008053E4"/>
    <w:rsid w:val="008060B9"/>
    <w:rsid w:val="0081056D"/>
    <w:rsid w:val="00812B95"/>
    <w:rsid w:val="00816EB0"/>
    <w:rsid w:val="00817939"/>
    <w:rsid w:val="0082247B"/>
    <w:rsid w:val="00826D6E"/>
    <w:rsid w:val="00827936"/>
    <w:rsid w:val="008345DE"/>
    <w:rsid w:val="008360F8"/>
    <w:rsid w:val="00837345"/>
    <w:rsid w:val="00837963"/>
    <w:rsid w:val="00840E5F"/>
    <w:rsid w:val="0084339D"/>
    <w:rsid w:val="00843540"/>
    <w:rsid w:val="0084501E"/>
    <w:rsid w:val="00851C0B"/>
    <w:rsid w:val="008529B0"/>
    <w:rsid w:val="00854338"/>
    <w:rsid w:val="00855F9B"/>
    <w:rsid w:val="008654E7"/>
    <w:rsid w:val="00865D0E"/>
    <w:rsid w:val="00871C1D"/>
    <w:rsid w:val="008726BA"/>
    <w:rsid w:val="008739EA"/>
    <w:rsid w:val="008745B5"/>
    <w:rsid w:val="00874D76"/>
    <w:rsid w:val="008825EE"/>
    <w:rsid w:val="00882D17"/>
    <w:rsid w:val="00883048"/>
    <w:rsid w:val="008869AA"/>
    <w:rsid w:val="00887873"/>
    <w:rsid w:val="00892BD5"/>
    <w:rsid w:val="00893EA8"/>
    <w:rsid w:val="008943FE"/>
    <w:rsid w:val="008A083B"/>
    <w:rsid w:val="008A3202"/>
    <w:rsid w:val="008B2380"/>
    <w:rsid w:val="008B3B01"/>
    <w:rsid w:val="008B43CA"/>
    <w:rsid w:val="008B7B5A"/>
    <w:rsid w:val="008C02EE"/>
    <w:rsid w:val="008C1CA8"/>
    <w:rsid w:val="008C2C2E"/>
    <w:rsid w:val="008D12B2"/>
    <w:rsid w:val="008D14E3"/>
    <w:rsid w:val="008D259B"/>
    <w:rsid w:val="008D2D7F"/>
    <w:rsid w:val="008E0742"/>
    <w:rsid w:val="008E126E"/>
    <w:rsid w:val="008E2FE9"/>
    <w:rsid w:val="008F093D"/>
    <w:rsid w:val="008F09A7"/>
    <w:rsid w:val="008F1602"/>
    <w:rsid w:val="008F4576"/>
    <w:rsid w:val="008F74D9"/>
    <w:rsid w:val="00900132"/>
    <w:rsid w:val="0090015F"/>
    <w:rsid w:val="009026F2"/>
    <w:rsid w:val="00902E7C"/>
    <w:rsid w:val="00903D3D"/>
    <w:rsid w:val="00904338"/>
    <w:rsid w:val="00905598"/>
    <w:rsid w:val="009118E7"/>
    <w:rsid w:val="00914BAC"/>
    <w:rsid w:val="00920BBE"/>
    <w:rsid w:val="00920CBA"/>
    <w:rsid w:val="009254D2"/>
    <w:rsid w:val="009255F9"/>
    <w:rsid w:val="00930C5C"/>
    <w:rsid w:val="00934D37"/>
    <w:rsid w:val="00934E15"/>
    <w:rsid w:val="009360F9"/>
    <w:rsid w:val="00941F1A"/>
    <w:rsid w:val="00942892"/>
    <w:rsid w:val="00942B24"/>
    <w:rsid w:val="00944987"/>
    <w:rsid w:val="00952058"/>
    <w:rsid w:val="0096016E"/>
    <w:rsid w:val="00962283"/>
    <w:rsid w:val="0096611A"/>
    <w:rsid w:val="00966595"/>
    <w:rsid w:val="0096753F"/>
    <w:rsid w:val="0097290B"/>
    <w:rsid w:val="00980060"/>
    <w:rsid w:val="00980141"/>
    <w:rsid w:val="009814AB"/>
    <w:rsid w:val="00982B77"/>
    <w:rsid w:val="00985577"/>
    <w:rsid w:val="009855DD"/>
    <w:rsid w:val="00992713"/>
    <w:rsid w:val="0099324B"/>
    <w:rsid w:val="00995ABB"/>
    <w:rsid w:val="0099660C"/>
    <w:rsid w:val="009970AE"/>
    <w:rsid w:val="009A10C5"/>
    <w:rsid w:val="009A47B8"/>
    <w:rsid w:val="009B2DFD"/>
    <w:rsid w:val="009B4989"/>
    <w:rsid w:val="009B55E0"/>
    <w:rsid w:val="009C0035"/>
    <w:rsid w:val="009C02AE"/>
    <w:rsid w:val="009C0E4D"/>
    <w:rsid w:val="009C20F1"/>
    <w:rsid w:val="009C5ECF"/>
    <w:rsid w:val="009D19EB"/>
    <w:rsid w:val="009D27E3"/>
    <w:rsid w:val="009D374B"/>
    <w:rsid w:val="009D3DB4"/>
    <w:rsid w:val="009D5360"/>
    <w:rsid w:val="009E1210"/>
    <w:rsid w:val="009E77D2"/>
    <w:rsid w:val="009F5AB4"/>
    <w:rsid w:val="00A00EFD"/>
    <w:rsid w:val="00A01C1C"/>
    <w:rsid w:val="00A023E7"/>
    <w:rsid w:val="00A04119"/>
    <w:rsid w:val="00A049E9"/>
    <w:rsid w:val="00A0551B"/>
    <w:rsid w:val="00A10F46"/>
    <w:rsid w:val="00A11284"/>
    <w:rsid w:val="00A11EB9"/>
    <w:rsid w:val="00A12C73"/>
    <w:rsid w:val="00A12CB0"/>
    <w:rsid w:val="00A13DA4"/>
    <w:rsid w:val="00A15230"/>
    <w:rsid w:val="00A22932"/>
    <w:rsid w:val="00A26429"/>
    <w:rsid w:val="00A3362D"/>
    <w:rsid w:val="00A4021C"/>
    <w:rsid w:val="00A41270"/>
    <w:rsid w:val="00A455E4"/>
    <w:rsid w:val="00A45783"/>
    <w:rsid w:val="00A5463F"/>
    <w:rsid w:val="00A54B3A"/>
    <w:rsid w:val="00A55227"/>
    <w:rsid w:val="00A55256"/>
    <w:rsid w:val="00A55C1B"/>
    <w:rsid w:val="00A57720"/>
    <w:rsid w:val="00A61157"/>
    <w:rsid w:val="00A61435"/>
    <w:rsid w:val="00A64FB4"/>
    <w:rsid w:val="00A6520D"/>
    <w:rsid w:val="00A71E2A"/>
    <w:rsid w:val="00A73BCC"/>
    <w:rsid w:val="00A749FE"/>
    <w:rsid w:val="00A828F7"/>
    <w:rsid w:val="00A868E9"/>
    <w:rsid w:val="00A86BB2"/>
    <w:rsid w:val="00A86D57"/>
    <w:rsid w:val="00A92780"/>
    <w:rsid w:val="00A93BE5"/>
    <w:rsid w:val="00A95F5A"/>
    <w:rsid w:val="00A96895"/>
    <w:rsid w:val="00AA31EF"/>
    <w:rsid w:val="00AA4F2E"/>
    <w:rsid w:val="00AA7D3D"/>
    <w:rsid w:val="00AB3390"/>
    <w:rsid w:val="00AB43FB"/>
    <w:rsid w:val="00AB720E"/>
    <w:rsid w:val="00AB7BC4"/>
    <w:rsid w:val="00AC16F3"/>
    <w:rsid w:val="00AC1858"/>
    <w:rsid w:val="00AC2AEE"/>
    <w:rsid w:val="00AC4F17"/>
    <w:rsid w:val="00AC52F3"/>
    <w:rsid w:val="00AD1F2D"/>
    <w:rsid w:val="00AD32B7"/>
    <w:rsid w:val="00AD32DE"/>
    <w:rsid w:val="00AD52A7"/>
    <w:rsid w:val="00AE0092"/>
    <w:rsid w:val="00AE7A3A"/>
    <w:rsid w:val="00AF058D"/>
    <w:rsid w:val="00AF0F44"/>
    <w:rsid w:val="00AF2628"/>
    <w:rsid w:val="00AF3A31"/>
    <w:rsid w:val="00AF418B"/>
    <w:rsid w:val="00B01EAE"/>
    <w:rsid w:val="00B07128"/>
    <w:rsid w:val="00B0789A"/>
    <w:rsid w:val="00B137E1"/>
    <w:rsid w:val="00B23362"/>
    <w:rsid w:val="00B24B7F"/>
    <w:rsid w:val="00B315C2"/>
    <w:rsid w:val="00B3668D"/>
    <w:rsid w:val="00B45D67"/>
    <w:rsid w:val="00B50EFF"/>
    <w:rsid w:val="00B52E85"/>
    <w:rsid w:val="00B52EF6"/>
    <w:rsid w:val="00B550EA"/>
    <w:rsid w:val="00B5544E"/>
    <w:rsid w:val="00B56BC1"/>
    <w:rsid w:val="00B6387F"/>
    <w:rsid w:val="00B675CB"/>
    <w:rsid w:val="00B679B6"/>
    <w:rsid w:val="00B67B6C"/>
    <w:rsid w:val="00B70961"/>
    <w:rsid w:val="00B70DFA"/>
    <w:rsid w:val="00B733AF"/>
    <w:rsid w:val="00B8052D"/>
    <w:rsid w:val="00B82981"/>
    <w:rsid w:val="00B82E46"/>
    <w:rsid w:val="00B83EEF"/>
    <w:rsid w:val="00B84C4B"/>
    <w:rsid w:val="00B857D7"/>
    <w:rsid w:val="00B87E02"/>
    <w:rsid w:val="00B93558"/>
    <w:rsid w:val="00B942DA"/>
    <w:rsid w:val="00B96553"/>
    <w:rsid w:val="00B9733D"/>
    <w:rsid w:val="00BA1F29"/>
    <w:rsid w:val="00BA430E"/>
    <w:rsid w:val="00BA65FB"/>
    <w:rsid w:val="00BB04CC"/>
    <w:rsid w:val="00BB0867"/>
    <w:rsid w:val="00BB2BB8"/>
    <w:rsid w:val="00BB33AA"/>
    <w:rsid w:val="00BB4370"/>
    <w:rsid w:val="00BB6449"/>
    <w:rsid w:val="00BB7E47"/>
    <w:rsid w:val="00BC0234"/>
    <w:rsid w:val="00BC175E"/>
    <w:rsid w:val="00BC1DFC"/>
    <w:rsid w:val="00BC226B"/>
    <w:rsid w:val="00BC6FAD"/>
    <w:rsid w:val="00BD2895"/>
    <w:rsid w:val="00BD2C18"/>
    <w:rsid w:val="00BE04D4"/>
    <w:rsid w:val="00BE3D3F"/>
    <w:rsid w:val="00BE4E7C"/>
    <w:rsid w:val="00BF0F83"/>
    <w:rsid w:val="00BF2C4A"/>
    <w:rsid w:val="00BF3127"/>
    <w:rsid w:val="00BF657E"/>
    <w:rsid w:val="00BF7A4F"/>
    <w:rsid w:val="00C0577D"/>
    <w:rsid w:val="00C10865"/>
    <w:rsid w:val="00C1494B"/>
    <w:rsid w:val="00C16A67"/>
    <w:rsid w:val="00C17777"/>
    <w:rsid w:val="00C17CCD"/>
    <w:rsid w:val="00C21A15"/>
    <w:rsid w:val="00C24CFF"/>
    <w:rsid w:val="00C250C6"/>
    <w:rsid w:val="00C252F5"/>
    <w:rsid w:val="00C258E1"/>
    <w:rsid w:val="00C30F9D"/>
    <w:rsid w:val="00C36025"/>
    <w:rsid w:val="00C424CD"/>
    <w:rsid w:val="00C4378B"/>
    <w:rsid w:val="00C50B31"/>
    <w:rsid w:val="00C520A3"/>
    <w:rsid w:val="00C560A5"/>
    <w:rsid w:val="00C56102"/>
    <w:rsid w:val="00C61351"/>
    <w:rsid w:val="00C614EC"/>
    <w:rsid w:val="00C62548"/>
    <w:rsid w:val="00C645AD"/>
    <w:rsid w:val="00C651A3"/>
    <w:rsid w:val="00C773D2"/>
    <w:rsid w:val="00C8330D"/>
    <w:rsid w:val="00C853C3"/>
    <w:rsid w:val="00C873E1"/>
    <w:rsid w:val="00C9433C"/>
    <w:rsid w:val="00CA043F"/>
    <w:rsid w:val="00CA2A7A"/>
    <w:rsid w:val="00CA2FCF"/>
    <w:rsid w:val="00CA607D"/>
    <w:rsid w:val="00CA6879"/>
    <w:rsid w:val="00CA79B9"/>
    <w:rsid w:val="00CB1B93"/>
    <w:rsid w:val="00CC083A"/>
    <w:rsid w:val="00CC208D"/>
    <w:rsid w:val="00CC2FF2"/>
    <w:rsid w:val="00CC44EE"/>
    <w:rsid w:val="00CC63B0"/>
    <w:rsid w:val="00CC6769"/>
    <w:rsid w:val="00CC676F"/>
    <w:rsid w:val="00CD1989"/>
    <w:rsid w:val="00CD5DAF"/>
    <w:rsid w:val="00CD729B"/>
    <w:rsid w:val="00CE5EA1"/>
    <w:rsid w:val="00CF0FB0"/>
    <w:rsid w:val="00CF58DA"/>
    <w:rsid w:val="00D01469"/>
    <w:rsid w:val="00D05FF3"/>
    <w:rsid w:val="00D10D7C"/>
    <w:rsid w:val="00D131C9"/>
    <w:rsid w:val="00D13ED4"/>
    <w:rsid w:val="00D14F12"/>
    <w:rsid w:val="00D15233"/>
    <w:rsid w:val="00D20AAA"/>
    <w:rsid w:val="00D20F3C"/>
    <w:rsid w:val="00D212DF"/>
    <w:rsid w:val="00D234D2"/>
    <w:rsid w:val="00D26479"/>
    <w:rsid w:val="00D37B65"/>
    <w:rsid w:val="00D4308F"/>
    <w:rsid w:val="00D44C8E"/>
    <w:rsid w:val="00D4678A"/>
    <w:rsid w:val="00D518D9"/>
    <w:rsid w:val="00D51D18"/>
    <w:rsid w:val="00D52313"/>
    <w:rsid w:val="00D52510"/>
    <w:rsid w:val="00D52699"/>
    <w:rsid w:val="00D60704"/>
    <w:rsid w:val="00D628BB"/>
    <w:rsid w:val="00D628C9"/>
    <w:rsid w:val="00D62CA3"/>
    <w:rsid w:val="00D63A78"/>
    <w:rsid w:val="00D64026"/>
    <w:rsid w:val="00D64907"/>
    <w:rsid w:val="00D708EF"/>
    <w:rsid w:val="00D71D0D"/>
    <w:rsid w:val="00D74703"/>
    <w:rsid w:val="00D807DD"/>
    <w:rsid w:val="00D81238"/>
    <w:rsid w:val="00D828AF"/>
    <w:rsid w:val="00D82B20"/>
    <w:rsid w:val="00D8766E"/>
    <w:rsid w:val="00D9054A"/>
    <w:rsid w:val="00D93C96"/>
    <w:rsid w:val="00D95F36"/>
    <w:rsid w:val="00D96CD1"/>
    <w:rsid w:val="00D9778E"/>
    <w:rsid w:val="00DA55EC"/>
    <w:rsid w:val="00DA6D96"/>
    <w:rsid w:val="00DB346F"/>
    <w:rsid w:val="00DC1BE5"/>
    <w:rsid w:val="00DC7322"/>
    <w:rsid w:val="00DC7D0F"/>
    <w:rsid w:val="00DD06EB"/>
    <w:rsid w:val="00DD1963"/>
    <w:rsid w:val="00DD35AD"/>
    <w:rsid w:val="00DD3BC8"/>
    <w:rsid w:val="00DD40B9"/>
    <w:rsid w:val="00DD4DCB"/>
    <w:rsid w:val="00DD7556"/>
    <w:rsid w:val="00DE2BD6"/>
    <w:rsid w:val="00DE50CB"/>
    <w:rsid w:val="00DE6EC5"/>
    <w:rsid w:val="00DF4766"/>
    <w:rsid w:val="00E003C2"/>
    <w:rsid w:val="00E00F56"/>
    <w:rsid w:val="00E02BEB"/>
    <w:rsid w:val="00E0453E"/>
    <w:rsid w:val="00E04BDA"/>
    <w:rsid w:val="00E051E5"/>
    <w:rsid w:val="00E070BB"/>
    <w:rsid w:val="00E15123"/>
    <w:rsid w:val="00E20BC1"/>
    <w:rsid w:val="00E237B7"/>
    <w:rsid w:val="00E23E57"/>
    <w:rsid w:val="00E23F97"/>
    <w:rsid w:val="00E24946"/>
    <w:rsid w:val="00E2658E"/>
    <w:rsid w:val="00E32607"/>
    <w:rsid w:val="00E347CC"/>
    <w:rsid w:val="00E35A1E"/>
    <w:rsid w:val="00E35A35"/>
    <w:rsid w:val="00E3673E"/>
    <w:rsid w:val="00E46F6B"/>
    <w:rsid w:val="00E51293"/>
    <w:rsid w:val="00E53230"/>
    <w:rsid w:val="00E56C73"/>
    <w:rsid w:val="00E57A79"/>
    <w:rsid w:val="00E62031"/>
    <w:rsid w:val="00E62110"/>
    <w:rsid w:val="00E66D01"/>
    <w:rsid w:val="00E66E12"/>
    <w:rsid w:val="00E677EC"/>
    <w:rsid w:val="00E7449B"/>
    <w:rsid w:val="00E8188A"/>
    <w:rsid w:val="00E825C6"/>
    <w:rsid w:val="00E8513E"/>
    <w:rsid w:val="00E85FEE"/>
    <w:rsid w:val="00E918E0"/>
    <w:rsid w:val="00E92BDB"/>
    <w:rsid w:val="00E9785F"/>
    <w:rsid w:val="00EA6690"/>
    <w:rsid w:val="00EB4514"/>
    <w:rsid w:val="00EB589F"/>
    <w:rsid w:val="00EC2B1C"/>
    <w:rsid w:val="00EC348B"/>
    <w:rsid w:val="00EC49F8"/>
    <w:rsid w:val="00EC4BE7"/>
    <w:rsid w:val="00ED0656"/>
    <w:rsid w:val="00ED2743"/>
    <w:rsid w:val="00ED3686"/>
    <w:rsid w:val="00ED5604"/>
    <w:rsid w:val="00ED6810"/>
    <w:rsid w:val="00ED77B4"/>
    <w:rsid w:val="00EE7F0A"/>
    <w:rsid w:val="00EF5A88"/>
    <w:rsid w:val="00F01930"/>
    <w:rsid w:val="00F04852"/>
    <w:rsid w:val="00F058F7"/>
    <w:rsid w:val="00F13254"/>
    <w:rsid w:val="00F209A6"/>
    <w:rsid w:val="00F22811"/>
    <w:rsid w:val="00F22CCF"/>
    <w:rsid w:val="00F23614"/>
    <w:rsid w:val="00F31986"/>
    <w:rsid w:val="00F324B4"/>
    <w:rsid w:val="00F3479E"/>
    <w:rsid w:val="00F34FB9"/>
    <w:rsid w:val="00F35942"/>
    <w:rsid w:val="00F36928"/>
    <w:rsid w:val="00F36981"/>
    <w:rsid w:val="00F37C0B"/>
    <w:rsid w:val="00F4212E"/>
    <w:rsid w:val="00F50777"/>
    <w:rsid w:val="00F51DA1"/>
    <w:rsid w:val="00F526F7"/>
    <w:rsid w:val="00F549CB"/>
    <w:rsid w:val="00F549FA"/>
    <w:rsid w:val="00F557F9"/>
    <w:rsid w:val="00F561EE"/>
    <w:rsid w:val="00F570C8"/>
    <w:rsid w:val="00F605AC"/>
    <w:rsid w:val="00F61353"/>
    <w:rsid w:val="00F638DA"/>
    <w:rsid w:val="00F64904"/>
    <w:rsid w:val="00F65C9E"/>
    <w:rsid w:val="00F66EE7"/>
    <w:rsid w:val="00F677E3"/>
    <w:rsid w:val="00F776E6"/>
    <w:rsid w:val="00F82E12"/>
    <w:rsid w:val="00F87819"/>
    <w:rsid w:val="00F907D8"/>
    <w:rsid w:val="00F91D1C"/>
    <w:rsid w:val="00F935EE"/>
    <w:rsid w:val="00F94614"/>
    <w:rsid w:val="00F954AF"/>
    <w:rsid w:val="00FA4AC1"/>
    <w:rsid w:val="00FB0335"/>
    <w:rsid w:val="00FB152F"/>
    <w:rsid w:val="00FB2388"/>
    <w:rsid w:val="00FB7B6A"/>
    <w:rsid w:val="00FB7D4F"/>
    <w:rsid w:val="00FC1B35"/>
    <w:rsid w:val="00FC3392"/>
    <w:rsid w:val="00FC34F3"/>
    <w:rsid w:val="00FC4E4B"/>
    <w:rsid w:val="00FC4FB5"/>
    <w:rsid w:val="00FC5156"/>
    <w:rsid w:val="00FC72EE"/>
    <w:rsid w:val="00FD3655"/>
    <w:rsid w:val="00FD463A"/>
    <w:rsid w:val="00FD5FBE"/>
    <w:rsid w:val="00FD63D3"/>
    <w:rsid w:val="00FE1D23"/>
    <w:rsid w:val="00FE23EF"/>
    <w:rsid w:val="00FE6308"/>
    <w:rsid w:val="00FE6B42"/>
    <w:rsid w:val="00FE7E91"/>
    <w:rsid w:val="00FF10AB"/>
    <w:rsid w:val="00FF2212"/>
    <w:rsid w:val="00FF4C94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973F"/>
  <w15:docId w15:val="{888B237B-3B62-479C-A18F-3D29CDFD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B0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638"/>
    <w:pPr>
      <w:keepNext/>
      <w:keepLines/>
      <w:tabs>
        <w:tab w:val="left" w:pos="709"/>
      </w:tabs>
      <w:spacing w:before="120" w:after="0" w:line="240" w:lineRule="auto"/>
      <w:outlineLvl w:val="0"/>
    </w:pPr>
    <w:rPr>
      <w:rFonts w:ascii="Corbel" w:hAnsi="Corbel"/>
      <w:color w:val="0093D0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5638"/>
    <w:pPr>
      <w:keepNext/>
      <w:keepLines/>
      <w:tabs>
        <w:tab w:val="left" w:pos="397"/>
      </w:tabs>
      <w:spacing w:before="240" w:after="120" w:line="240" w:lineRule="auto"/>
      <w:outlineLvl w:val="1"/>
    </w:pPr>
    <w:rPr>
      <w:rFonts w:ascii="Corbel" w:hAnsi="Corbel"/>
      <w:color w:val="0093D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5927B0"/>
    <w:pPr>
      <w:tabs>
        <w:tab w:val="left" w:pos="397"/>
      </w:tabs>
      <w:spacing w:after="120" w:line="240" w:lineRule="auto"/>
      <w:ind w:left="397" w:hanging="397"/>
      <w:jc w:val="both"/>
    </w:pPr>
    <w:rPr>
      <w:rFonts w:ascii="Times New Roman" w:hAnsi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5927B0"/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MJAnormal">
    <w:name w:val="MJA normal"/>
    <w:basedOn w:val="Normal"/>
    <w:link w:val="MJAnormalChar1"/>
    <w:qFormat/>
    <w:rsid w:val="005927B0"/>
    <w:pPr>
      <w:spacing w:before="120" w:after="120" w:line="280" w:lineRule="atLeast"/>
    </w:pPr>
    <w:rPr>
      <w:rFonts w:ascii="Times New Roman" w:hAnsi="Times New Roman"/>
    </w:rPr>
  </w:style>
  <w:style w:type="character" w:customStyle="1" w:styleId="MJAnormalChar1">
    <w:name w:val="MJA normal Char1"/>
    <w:basedOn w:val="DefaultParagraphFont"/>
    <w:link w:val="MJAnormal"/>
    <w:locked/>
    <w:rsid w:val="005927B0"/>
    <w:rPr>
      <w:rFonts w:ascii="Times New Roman" w:eastAsia="Times New Roman" w:hAnsi="Times New Roman" w:cs="Times New Roman"/>
      <w:lang w:eastAsia="en-AU"/>
    </w:rPr>
  </w:style>
  <w:style w:type="character" w:styleId="FootnoteReference">
    <w:name w:val="footnote reference"/>
    <w:basedOn w:val="DefaultParagraphFont"/>
    <w:semiHidden/>
    <w:unhideWhenUsed/>
    <w:rsid w:val="005927B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7B0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92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7B0"/>
    <w:rPr>
      <w:rFonts w:eastAsia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92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7B0"/>
    <w:rPr>
      <w:rFonts w:eastAsia="Times New Roman"/>
      <w:lang w:eastAsia="en-AU"/>
    </w:rPr>
  </w:style>
  <w:style w:type="table" w:styleId="TableGrid">
    <w:name w:val="Table Grid"/>
    <w:basedOn w:val="TableNormal"/>
    <w:uiPriority w:val="59"/>
    <w:rsid w:val="00EC3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77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6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6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68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68A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A049E9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C33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502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D5638"/>
    <w:rPr>
      <w:rFonts w:ascii="Corbel" w:eastAsia="Times New Roman" w:hAnsi="Corbel"/>
      <w:color w:val="0093D0"/>
      <w:sz w:val="3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D5638"/>
    <w:rPr>
      <w:rFonts w:ascii="Corbel" w:eastAsia="Times New Roman" w:hAnsi="Corbel"/>
      <w:color w:val="0093D0"/>
      <w:sz w:val="24"/>
    </w:rPr>
  </w:style>
  <w:style w:type="paragraph" w:customStyle="1" w:styleId="TableText">
    <w:name w:val="Table Text"/>
    <w:basedOn w:val="Normal"/>
    <w:rsid w:val="00733EB2"/>
    <w:pPr>
      <w:spacing w:before="80" w:after="80" w:line="240" w:lineRule="auto"/>
    </w:pPr>
    <w:rPr>
      <w:rFonts w:asciiTheme="minorHAnsi" w:hAnsiTheme="minorHAnsi"/>
      <w:sz w:val="18"/>
      <w:szCs w:val="20"/>
      <w:lang w:eastAsia="en-US"/>
    </w:rPr>
  </w:style>
  <w:style w:type="paragraph" w:customStyle="1" w:styleId="Table-FigureNote">
    <w:name w:val="Table-Figure Note"/>
    <w:basedOn w:val="Normal"/>
    <w:rsid w:val="006B4042"/>
    <w:pPr>
      <w:spacing w:before="120" w:after="120" w:line="240" w:lineRule="auto"/>
    </w:pPr>
    <w:rPr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4" Type="http://schemas.openxmlformats.org/officeDocument/2006/relationships/hyperlink" Target="http://www.agriculture.gov.au/about/water/market-price-information" TargetMode="Externa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F467F77E5006AC4183EC66C58CB60CCF0035EEB2A9B756A8408D26358C5BDD0E24" ma:contentTypeVersion="8" ma:contentTypeDescription="SPIRE Document" ma:contentTypeScope="" ma:versionID="773f2d32f3a8a0f4189075d2c79cb1b1">
  <xsd:schema xmlns:xsd="http://www.w3.org/2001/XMLSchema" xmlns:xs="http://www.w3.org/2001/XMLSchema" xmlns:p="http://schemas.microsoft.com/office/2006/metadata/properties" xmlns:ns2="c25cb30a-de11-40ab-bdcc-f1d56023b01d" xmlns:ns3="http://schemas.microsoft.com/sharepoint/v4" targetNamespace="http://schemas.microsoft.com/office/2006/metadata/properties" ma:root="true" ma:fieldsID="4907cea591c5de458707442094f32ef7" ns2:_="" ns3:_="">
    <xsd:import namespace="c25cb30a-de11-40ab-bdcc-f1d56023b01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  <xsd:element ref="ns2:Publication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cb30a-de11-40ab-bdcc-f1d56023b01d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Program Admi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  <xsd:element name="PublicationYear" ma:index="13" nillable="true" ma:displayName="Publication Year" ma:description="Publication Year" ma:internalName="PublicationYear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c25cb30a-de11-40ab-bdcc-f1d56023b01d">Program Admin</Function>
    <IconOverlay xmlns="http://schemas.microsoft.com/sharepoint/v4" xsi:nil="true"/>
    <DocumentDescription xmlns="c25cb30a-de11-40ab-bdcc-f1d56023b01d">Water entitlement market prices across the Murray–Darling Basin: summary report for June quarter 2016</DocumentDescription>
    <RecordNumber xmlns="c25cb30a-de11-40ab-bdcc-f1d56023b01d">000662789</RecordNumber>
    <PublicationYear xmlns="c25cb30a-de11-40ab-bdcc-f1d56023b01d" xsi:nil="true"/>
    <Approval xmlns="c25cb30a-de11-40ab-bdcc-f1d56023b01d">Approved</Approva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6B9-AF9F-43AF-9F76-06B81944E283}"/>
</file>

<file path=customXml/itemProps2.xml><?xml version="1.0" encoding="utf-8"?>
<ds:datastoreItem xmlns:ds="http://schemas.openxmlformats.org/officeDocument/2006/customXml" ds:itemID="{3E963994-375D-4CAB-95A0-59789850B2C2}"/>
</file>

<file path=customXml/itemProps3.xml><?xml version="1.0" encoding="utf-8"?>
<ds:datastoreItem xmlns:ds="http://schemas.openxmlformats.org/officeDocument/2006/customXml" ds:itemID="{74E80137-49D4-4631-B36B-8F8A61B8DCB5}"/>
</file>

<file path=customXml/itemProps4.xml><?xml version="1.0" encoding="utf-8"?>
<ds:datastoreItem xmlns:ds="http://schemas.openxmlformats.org/officeDocument/2006/customXml" ds:itemID="{F3DB3001-88A9-4DA6-A6B5-D43C872D6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cb30a-de11-40ab-bdcc-f1d56023b01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72B6B9-AF9F-43AF-9F76-06B81944E283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sharepoint/v4"/>
    <ds:schemaRef ds:uri="http://schemas.openxmlformats.org/package/2006/metadata/core-properties"/>
    <ds:schemaRef ds:uri="http://purl.org/dc/elements/1.1/"/>
    <ds:schemaRef ds:uri="c25cb30a-de11-40ab-bdcc-f1d56023b01d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DCEE4B1C-BD74-4B4D-B5DA-5CDDB35319DD}"/>
</file>

<file path=customXml/itemProps7.xml><?xml version="1.0" encoding="utf-8"?>
<ds:datastoreItem xmlns:ds="http://schemas.openxmlformats.org/officeDocument/2006/customXml" ds:itemID="{2DDB827D-CEFC-4B3B-9390-468D1C5B60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entitlement market prices across the Murray–Darling Basin: summary report for June quarter 2016</vt:lpstr>
    </vt:vector>
  </TitlesOfParts>
  <Company>DEWHA</Company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entitlement market prices across the Murray–Darling Basin: summary report for June quarter 2016</dc:title>
  <dc:creator>Marsden Jacob Associates</dc:creator>
  <cp:lastModifiedBy>Church, Julia</cp:lastModifiedBy>
  <cp:revision>2</cp:revision>
  <cp:lastPrinted>2016-08-10T00:30:00Z</cp:lastPrinted>
  <dcterms:created xsi:type="dcterms:W3CDTF">2016-08-24T23:03:00Z</dcterms:created>
  <dcterms:modified xsi:type="dcterms:W3CDTF">2016-08-24T23:03:00Z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rdPoint_WorkflowType">
    <vt:lpwstr>ActiveSubmitStub</vt:lpwstr>
  </property>
  <property fmtid="{D5CDD505-2E9C-101B-9397-08002B2CF9AE}" pid="3" name="RecordPoint_ActiveItemSiteId">
    <vt:lpwstr>{254fee0d-4777-48aa-bc34-2dc772f8c69f}</vt:lpwstr>
  </property>
  <property fmtid="{D5CDD505-2E9C-101B-9397-08002B2CF9AE}" pid="4" name="RecordPoint_ActiveItemListId">
    <vt:lpwstr>{0eec9deb-e8fc-4a7d-baef-60074d8a093e}</vt:lpwstr>
  </property>
  <property fmtid="{D5CDD505-2E9C-101B-9397-08002B2CF9AE}" pid="5" name="RecordPoint_ActiveItemUniqueId">
    <vt:lpwstr>{ce5e324f-bbbf-450e-9a66-240472b375bf}</vt:lpwstr>
  </property>
  <property fmtid="{D5CDD505-2E9C-101B-9397-08002B2CF9AE}" pid="6" name="RecordPoint_ActiveItemWebId">
    <vt:lpwstr>{3f329a68-e496-4f07-bde1-253d647fcab0}</vt:lpwstr>
  </property>
  <property fmtid="{D5CDD505-2E9C-101B-9397-08002B2CF9AE}" pid="7" name="RecordPoint_SubmissionCompleted">
    <vt:lpwstr/>
  </property>
  <property fmtid="{D5CDD505-2E9C-101B-9397-08002B2CF9AE}" pid="8" name="RecordPoint_RecordNumberSubmitted">
    <vt:lpwstr/>
  </property>
  <property fmtid="{D5CDD505-2E9C-101B-9397-08002B2CF9AE}" pid="9" name="ContentTypeId">
    <vt:lpwstr>0x01010078F6B24EF29B14488A4D3E054F39A21B</vt:lpwstr>
  </property>
  <property fmtid="{D5CDD505-2E9C-101B-9397-08002B2CF9AE}" pid="10" name="RecordPoint_SubmissionDate">
    <vt:lpwstr/>
  </property>
  <property fmtid="{D5CDD505-2E9C-101B-9397-08002B2CF9AE}" pid="11" name="RecordPoint_ActiveItemMoved">
    <vt:lpwstr/>
  </property>
  <property fmtid="{D5CDD505-2E9C-101B-9397-08002B2CF9AE}" pid="12" name="RecordPoint_RecordFormat">
    <vt:lpwstr/>
  </property>
</Properties>
</file>