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2973F" w14:textId="77777777" w:rsidR="005927B0" w:rsidRPr="00320269" w:rsidRDefault="005927B0" w:rsidP="00320269">
      <w:pPr>
        <w:pStyle w:val="MJAheading2"/>
      </w:pPr>
      <w:bookmarkStart w:id="0" w:name="OLE_LINK2"/>
      <w:r w:rsidRPr="00320269">
        <w:t>Water Entitlement Market Prices across the Murray-Darling Basin</w:t>
      </w:r>
    </w:p>
    <w:p w14:paraId="0FC29740" w14:textId="6ADD2453" w:rsidR="005927B0" w:rsidRPr="008B3B01" w:rsidRDefault="005927B0" w:rsidP="008B3B01">
      <w:pPr>
        <w:pStyle w:val="MJAheading4"/>
      </w:pPr>
      <w:r w:rsidRPr="008B3B01">
        <w:t xml:space="preserve">Summary Report for </w:t>
      </w:r>
      <w:r w:rsidR="008D67D1">
        <w:t>May</w:t>
      </w:r>
      <w:r w:rsidR="002A58DC">
        <w:t xml:space="preserve"> </w:t>
      </w:r>
      <w:r w:rsidRPr="008B3B01">
        <w:t>201</w:t>
      </w:r>
      <w:r w:rsidR="00C825FC">
        <w:t>7</w:t>
      </w:r>
    </w:p>
    <w:p w14:paraId="0FC29741" w14:textId="77777777" w:rsidR="003C74A1" w:rsidRDefault="003C74A1" w:rsidP="005927B0">
      <w:pPr>
        <w:pStyle w:val="MJAnormal"/>
      </w:pPr>
    </w:p>
    <w:p w14:paraId="0FC29742" w14:textId="00F656F2" w:rsidR="005927B0" w:rsidRDefault="005927B0" w:rsidP="00C17777">
      <w:r>
        <w:t xml:space="preserve">Marsden Jacob Associates has been engaged by the Australian Government Department of </w:t>
      </w:r>
      <w:r w:rsidR="007278A8">
        <w:t>Agriculture and Water Resources</w:t>
      </w:r>
      <w:r>
        <w:t xml:space="preserve"> to provide market price information on water entitlements in the Murray Darling Basin.  </w:t>
      </w:r>
      <w:r w:rsidR="00C17777">
        <w:t xml:space="preserve">The following tables summarise the </w:t>
      </w:r>
      <w:r>
        <w:t>information in the full market price report</w:t>
      </w:r>
      <w:r w:rsidR="001A5027">
        <w:t>,</w:t>
      </w:r>
      <w:r>
        <w:t xml:space="preserve"> available on the Department’s </w:t>
      </w:r>
      <w:hyperlink r:id="rId14" w:history="1">
        <w:r w:rsidRPr="00FC3392">
          <w:rPr>
            <w:rStyle w:val="Hyperlink"/>
          </w:rPr>
          <w:t>website</w:t>
        </w:r>
      </w:hyperlink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497"/>
        <w:gridCol w:w="2497"/>
        <w:gridCol w:w="2503"/>
        <w:gridCol w:w="2507"/>
        <w:gridCol w:w="2500"/>
      </w:tblGrid>
      <w:tr w:rsidR="004A668A" w:rsidRPr="00535408" w14:paraId="0FC29748" w14:textId="77777777" w:rsidTr="00626851">
        <w:trPr>
          <w:trHeight w:val="313"/>
        </w:trPr>
        <w:tc>
          <w:tcPr>
            <w:tcW w:w="86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0FC29743" w14:textId="77777777" w:rsidR="00E35A35" w:rsidRPr="00626851" w:rsidRDefault="00E35A35" w:rsidP="00535408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>Region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0FC29744" w14:textId="77777777" w:rsidR="00E35A35" w:rsidRPr="00626851" w:rsidRDefault="00E35A35" w:rsidP="00535408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>Entitlement Type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5493EFC8" w14:textId="122250FC" w:rsidR="002A58DC" w:rsidRDefault="008D67D1" w:rsidP="002A58DC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>
              <w:rPr>
                <w:rFonts w:ascii="Calibri" w:hAnsi="Calibri"/>
                <w:b/>
                <w:sz w:val="20"/>
                <w:szCs w:val="16"/>
              </w:rPr>
              <w:t>May</w:t>
            </w:r>
            <w:r w:rsidR="003B16DA" w:rsidRPr="00626851">
              <w:rPr>
                <w:rFonts w:ascii="Calibri" w:hAnsi="Calibri"/>
                <w:b/>
                <w:sz w:val="20"/>
                <w:szCs w:val="16"/>
              </w:rPr>
              <w:t xml:space="preserve"> </w:t>
            </w:r>
            <w:r w:rsidR="00E35A35" w:rsidRPr="00626851">
              <w:rPr>
                <w:rFonts w:ascii="Calibri" w:hAnsi="Calibri"/>
                <w:b/>
                <w:sz w:val="20"/>
                <w:szCs w:val="16"/>
              </w:rPr>
              <w:t>201</w:t>
            </w:r>
            <w:r w:rsidR="00C825FC">
              <w:rPr>
                <w:rFonts w:ascii="Calibri" w:hAnsi="Calibri"/>
                <w:b/>
                <w:sz w:val="20"/>
                <w:szCs w:val="16"/>
              </w:rPr>
              <w:t>7</w:t>
            </w:r>
          </w:p>
          <w:p w14:paraId="0FC29745" w14:textId="2A3529DE" w:rsidR="00E35A35" w:rsidRPr="00626851" w:rsidRDefault="00E35A35" w:rsidP="002A58DC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>VWAP</w:t>
            </w:r>
            <w:r w:rsidR="00C9433C" w:rsidRPr="00626851">
              <w:rPr>
                <w:rStyle w:val="FootnoteReference"/>
                <w:rFonts w:ascii="Calibri" w:hAnsi="Calibri"/>
                <w:b/>
                <w:sz w:val="20"/>
                <w:szCs w:val="16"/>
              </w:rPr>
              <w:footnoteReference w:id="1"/>
            </w:r>
            <w:r w:rsidRPr="00626851">
              <w:rPr>
                <w:rFonts w:ascii="Calibri" w:hAnsi="Calibri"/>
                <w:b/>
                <w:sz w:val="20"/>
                <w:szCs w:val="16"/>
              </w:rPr>
              <w:t xml:space="preserve"> ($/ML)</w:t>
            </w:r>
          </w:p>
        </w:tc>
        <w:tc>
          <w:tcPr>
            <w:tcW w:w="16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C29746" w14:textId="25D58330" w:rsidR="00E35A35" w:rsidRPr="00626851" w:rsidRDefault="008D67D1" w:rsidP="00C825FC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>
              <w:rPr>
                <w:rFonts w:ascii="Calibri" w:hAnsi="Calibri"/>
                <w:b/>
                <w:sz w:val="20"/>
                <w:szCs w:val="16"/>
              </w:rPr>
              <w:t>May</w:t>
            </w:r>
            <w:r w:rsidR="00860D21">
              <w:rPr>
                <w:rFonts w:ascii="Calibri" w:hAnsi="Calibri"/>
                <w:b/>
                <w:sz w:val="20"/>
                <w:szCs w:val="16"/>
              </w:rPr>
              <w:t xml:space="preserve"> </w:t>
            </w:r>
            <w:r w:rsidR="00E35A35" w:rsidRPr="00626851">
              <w:rPr>
                <w:rFonts w:ascii="Calibri" w:hAnsi="Calibri"/>
                <w:b/>
                <w:sz w:val="20"/>
                <w:szCs w:val="16"/>
              </w:rPr>
              <w:t>201</w:t>
            </w:r>
            <w:r w:rsidR="00C825FC">
              <w:rPr>
                <w:rFonts w:ascii="Calibri" w:hAnsi="Calibri"/>
                <w:b/>
                <w:sz w:val="20"/>
                <w:szCs w:val="16"/>
              </w:rPr>
              <w:t>7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0FC29747" w14:textId="152BB2B4" w:rsidR="00E35A35" w:rsidRPr="00626851" w:rsidRDefault="00E918E0" w:rsidP="002144AA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 xml:space="preserve">Broker buy/sell range </w:t>
            </w:r>
            <w:r w:rsidR="00C9433C" w:rsidRPr="00626851">
              <w:rPr>
                <w:rStyle w:val="FootnoteReference"/>
                <w:rFonts w:ascii="Calibri" w:hAnsi="Calibri"/>
                <w:b/>
                <w:sz w:val="20"/>
                <w:szCs w:val="16"/>
              </w:rPr>
              <w:footnoteReference w:id="2"/>
            </w:r>
            <w:r w:rsidR="00E35A35" w:rsidRPr="00626851">
              <w:rPr>
                <w:rFonts w:ascii="Calibri" w:hAnsi="Calibri"/>
                <w:b/>
                <w:sz w:val="20"/>
                <w:szCs w:val="16"/>
              </w:rPr>
              <w:t xml:space="preserve"> ($/ML)</w:t>
            </w:r>
          </w:p>
        </w:tc>
      </w:tr>
      <w:tr w:rsidR="004A668A" w:rsidRPr="00535408" w14:paraId="0FC2974F" w14:textId="77777777" w:rsidTr="00626851">
        <w:trPr>
          <w:trHeight w:val="353"/>
        </w:trPr>
        <w:tc>
          <w:tcPr>
            <w:tcW w:w="86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C29749" w14:textId="4A62A618" w:rsidR="00E35A35" w:rsidRPr="00535408" w:rsidRDefault="00E35A35" w:rsidP="005927B0">
            <w:pPr>
              <w:pStyle w:val="MJAnormal"/>
              <w:rPr>
                <w:rFonts w:ascii="Calibri" w:hAnsi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825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C2974A" w14:textId="77777777" w:rsidR="00E35A35" w:rsidRPr="00535408" w:rsidRDefault="00E35A35" w:rsidP="005927B0">
            <w:pPr>
              <w:pStyle w:val="MJAnormal"/>
              <w:rPr>
                <w:rFonts w:ascii="Calibri" w:hAnsi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825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C2974B" w14:textId="77777777" w:rsidR="00E35A35" w:rsidRPr="00535408" w:rsidRDefault="00E35A35" w:rsidP="00535408">
            <w:pPr>
              <w:pStyle w:val="MJAnormal"/>
              <w:jc w:val="center"/>
              <w:rPr>
                <w:rFonts w:ascii="Calibri" w:hAnsi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C2974C" w14:textId="77777777" w:rsidR="00E35A35" w:rsidRPr="00626851" w:rsidRDefault="00E35A35" w:rsidP="00535408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>25th percentile</w:t>
            </w:r>
            <w:r w:rsidR="006B029C" w:rsidRPr="00626851">
              <w:rPr>
                <w:rFonts w:ascii="Calibri" w:hAnsi="Calibri"/>
                <w:b/>
                <w:sz w:val="20"/>
                <w:szCs w:val="16"/>
              </w:rPr>
              <w:t xml:space="preserve"> ($/ML)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C2974D" w14:textId="77777777" w:rsidR="00E35A35" w:rsidRPr="00626851" w:rsidRDefault="00E35A35" w:rsidP="00535408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>75th percentile</w:t>
            </w:r>
            <w:r w:rsidR="006B029C" w:rsidRPr="00626851">
              <w:rPr>
                <w:rFonts w:ascii="Calibri" w:hAnsi="Calibri"/>
                <w:b/>
                <w:sz w:val="20"/>
                <w:szCs w:val="16"/>
              </w:rPr>
              <w:t xml:space="preserve"> ($/ML)</w:t>
            </w:r>
          </w:p>
        </w:tc>
        <w:tc>
          <w:tcPr>
            <w:tcW w:w="82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C2974E" w14:textId="77777777" w:rsidR="00E35A35" w:rsidRPr="00535408" w:rsidRDefault="00E35A35" w:rsidP="00535408">
            <w:pPr>
              <w:pStyle w:val="MJAnormal"/>
              <w:jc w:val="center"/>
              <w:rPr>
                <w:rFonts w:ascii="Calibri" w:hAnsi="Calibri"/>
                <w:b/>
                <w:color w:val="FFFFFF"/>
                <w:sz w:val="20"/>
                <w:szCs w:val="16"/>
              </w:rPr>
            </w:pPr>
          </w:p>
        </w:tc>
      </w:tr>
      <w:tr w:rsidR="00A64FB4" w:rsidRPr="00535408" w14:paraId="0FC29751" w14:textId="77777777" w:rsidTr="00626851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FC29750" w14:textId="77777777" w:rsidR="00A64FB4" w:rsidRPr="00535408" w:rsidRDefault="00A64FB4" w:rsidP="00535408">
            <w:pPr>
              <w:pStyle w:val="MJAnormal"/>
              <w:spacing w:before="40" w:after="40" w:line="240" w:lineRule="auto"/>
              <w:rPr>
                <w:rFonts w:ascii="Calibri" w:hAnsi="Calibri"/>
                <w:b/>
                <w:sz w:val="16"/>
                <w:szCs w:val="16"/>
              </w:rPr>
            </w:pPr>
            <w:r w:rsidRPr="00535408">
              <w:rPr>
                <w:rFonts w:ascii="Calibri" w:hAnsi="Calibri" w:cs="Arial"/>
                <w:b/>
                <w:sz w:val="16"/>
                <w:szCs w:val="16"/>
              </w:rPr>
              <w:t>Southern Murray-Darling Basin</w:t>
            </w:r>
          </w:p>
        </w:tc>
      </w:tr>
      <w:tr w:rsidR="008D67D1" w:rsidRPr="00535408" w14:paraId="0FC29758" w14:textId="77777777" w:rsidTr="00626851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52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SA Murray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53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Class 3a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54" w14:textId="1F4A5FD4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 </w:t>
            </w:r>
            <w:r w:rsidRPr="008D67D1">
              <w:rPr>
                <w:rFonts w:cs="Arial"/>
                <w:sz w:val="16"/>
                <w:szCs w:val="16"/>
              </w:rPr>
              <w:t>041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55" w14:textId="5B983112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 </w:t>
            </w:r>
            <w:r w:rsidRPr="008D67D1">
              <w:rPr>
                <w:rFonts w:cs="Arial"/>
                <w:sz w:val="16"/>
                <w:szCs w:val="16"/>
              </w:rPr>
              <w:t>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56" w14:textId="702DD72F" w:rsidR="008D67D1" w:rsidRPr="000362FF" w:rsidRDefault="008D67D1" w:rsidP="008D67D1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 </w:t>
            </w:r>
            <w:r w:rsidRPr="008D67D1">
              <w:rPr>
                <w:rFonts w:cs="Arial"/>
                <w:sz w:val="16"/>
                <w:szCs w:val="16"/>
              </w:rPr>
              <w:t>004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57" w14:textId="285FBE1B" w:rsidR="008D67D1" w:rsidRPr="007D3735" w:rsidRDefault="008D67D1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D3735">
              <w:rPr>
                <w:rFonts w:cs="Arial"/>
                <w:sz w:val="16"/>
                <w:szCs w:val="16"/>
              </w:rPr>
              <w:t xml:space="preserve">2 </w:t>
            </w:r>
            <w:r w:rsidR="00582A17">
              <w:rPr>
                <w:rFonts w:cs="Arial"/>
                <w:sz w:val="16"/>
                <w:szCs w:val="16"/>
              </w:rPr>
              <w:t>9</w:t>
            </w:r>
            <w:r w:rsidRPr="007D3735">
              <w:rPr>
                <w:rFonts w:cs="Arial"/>
                <w:sz w:val="16"/>
                <w:szCs w:val="16"/>
              </w:rPr>
              <w:t xml:space="preserve">00 – 3 </w:t>
            </w:r>
            <w:r w:rsidR="00582A17">
              <w:rPr>
                <w:rFonts w:cs="Arial"/>
                <w:sz w:val="16"/>
                <w:szCs w:val="16"/>
              </w:rPr>
              <w:t>150</w:t>
            </w:r>
            <w:r w:rsidRPr="007D373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8D67D1" w:rsidRPr="00535408" w14:paraId="0FC2975F" w14:textId="77777777" w:rsidTr="00626851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59" w14:textId="7BB23BBF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VIC Murray above Barmah Choke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5A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High Reliability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5B" w14:textId="6EEF5ED2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8D67D1">
              <w:rPr>
                <w:rFonts w:cs="Arial"/>
                <w:sz w:val="16"/>
                <w:szCs w:val="16"/>
              </w:rPr>
              <w:t>669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5C" w14:textId="184B00D7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8D67D1">
              <w:rPr>
                <w:rFonts w:cs="Arial"/>
                <w:sz w:val="16"/>
                <w:szCs w:val="16"/>
              </w:rPr>
              <w:t>525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5D" w14:textId="3C8FA803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8D67D1">
              <w:rPr>
                <w:rFonts w:cs="Arial"/>
                <w:sz w:val="16"/>
                <w:szCs w:val="16"/>
              </w:rPr>
              <w:t>650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5E" w14:textId="44A31C84" w:rsidR="008D67D1" w:rsidRPr="007D3735" w:rsidRDefault="00582A17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2 7</w:t>
            </w:r>
            <w:r w:rsidR="008D67D1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0 – 2 9</w:t>
            </w:r>
            <w:r w:rsidR="008D67D1" w:rsidRPr="007D3735">
              <w:rPr>
                <w:rFonts w:cs="Arial"/>
                <w:sz w:val="16"/>
                <w:szCs w:val="16"/>
              </w:rPr>
              <w:t>00</w:t>
            </w:r>
          </w:p>
        </w:tc>
      </w:tr>
      <w:tr w:rsidR="008D67D1" w:rsidRPr="00535408" w14:paraId="0FC29766" w14:textId="77777777" w:rsidTr="00626851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0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VIC Murray above Barmah Choke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1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Low Reliability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2" w14:textId="0546C740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D67D1">
              <w:rPr>
                <w:rFonts w:cs="Arial"/>
                <w:sz w:val="16"/>
                <w:szCs w:val="16"/>
              </w:rPr>
              <w:t>301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3" w14:textId="610886E0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D67D1">
              <w:rPr>
                <w:rFonts w:cs="Arial"/>
                <w:sz w:val="16"/>
                <w:szCs w:val="16"/>
              </w:rPr>
              <w:t>260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4" w14:textId="557E4D1D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D67D1">
              <w:rPr>
                <w:rFonts w:cs="Arial"/>
                <w:sz w:val="16"/>
                <w:szCs w:val="16"/>
              </w:rPr>
              <w:t>306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65" w14:textId="7F03C895" w:rsidR="008D67D1" w:rsidRPr="007D3735" w:rsidRDefault="00582A17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300 – 33</w:t>
            </w:r>
            <w:r w:rsidR="008D67D1" w:rsidRPr="007D3735">
              <w:rPr>
                <w:rFonts w:cs="Arial"/>
                <w:sz w:val="16"/>
                <w:szCs w:val="16"/>
              </w:rPr>
              <w:t>0</w:t>
            </w:r>
          </w:p>
        </w:tc>
      </w:tr>
      <w:tr w:rsidR="008D67D1" w:rsidRPr="00535408" w14:paraId="0FC2976D" w14:textId="77777777" w:rsidTr="00626851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7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Vic Murray below Barmah Choke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8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High Reliability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9" w14:textId="085171BF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8D67D1">
              <w:rPr>
                <w:rFonts w:cs="Arial"/>
                <w:sz w:val="16"/>
                <w:szCs w:val="16"/>
              </w:rPr>
              <w:t>834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A" w14:textId="16988C0C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8D67D1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B" w14:textId="590983B2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8D67D1">
              <w:rPr>
                <w:rFonts w:cs="Arial"/>
                <w:sz w:val="16"/>
                <w:szCs w:val="16"/>
              </w:rPr>
              <w:t>900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6C" w14:textId="772E71C0" w:rsidR="008D67D1" w:rsidRPr="007D3735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2 700 – 2 90</w:t>
            </w:r>
            <w:r w:rsidRPr="007D3735">
              <w:rPr>
                <w:rFonts w:cs="Arial"/>
                <w:sz w:val="16"/>
                <w:szCs w:val="16"/>
              </w:rPr>
              <w:t xml:space="preserve">0 </w:t>
            </w:r>
          </w:p>
        </w:tc>
      </w:tr>
      <w:tr w:rsidR="008D67D1" w:rsidRPr="00535408" w14:paraId="0FC29774" w14:textId="77777777" w:rsidTr="00626851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E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Vic Murray below Barmah Choke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6F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Low Reliability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0" w14:textId="3F5A07AA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D67D1">
              <w:rPr>
                <w:rFonts w:cs="Arial"/>
                <w:sz w:val="16"/>
                <w:szCs w:val="16"/>
              </w:rPr>
              <w:t>320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1" w14:textId="7CE627FE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D67D1">
              <w:rPr>
                <w:rFonts w:cs="Arial"/>
                <w:sz w:val="16"/>
                <w:szCs w:val="16"/>
              </w:rPr>
              <w:t>260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2" w14:textId="27491519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D67D1">
              <w:rPr>
                <w:rFonts w:cs="Arial"/>
                <w:sz w:val="16"/>
                <w:szCs w:val="16"/>
              </w:rPr>
              <w:t>350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73" w14:textId="58576E32" w:rsidR="008D67D1" w:rsidRPr="007D3735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 – 340</w:t>
            </w:r>
            <w:r w:rsidRPr="007D373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8D67D1" w:rsidRPr="00535408" w14:paraId="0FC2977B" w14:textId="77777777" w:rsidTr="00626851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5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Goulburn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6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High Reliability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7" w14:textId="11BE7E57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8D67D1">
              <w:rPr>
                <w:rFonts w:cs="Arial"/>
                <w:sz w:val="16"/>
                <w:szCs w:val="16"/>
              </w:rPr>
              <w:t>530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8" w14:textId="6772B227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8D67D1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9" w14:textId="049C8C5D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8D67D1">
              <w:rPr>
                <w:rFonts w:cs="Arial"/>
                <w:sz w:val="16"/>
                <w:szCs w:val="16"/>
              </w:rPr>
              <w:t>600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7A" w14:textId="753C016A" w:rsidR="008D67D1" w:rsidRPr="007D3735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2 500 – 2 650</w:t>
            </w:r>
          </w:p>
        </w:tc>
      </w:tr>
      <w:tr w:rsidR="008D67D1" w:rsidRPr="00535408" w14:paraId="0FC29782" w14:textId="77777777" w:rsidTr="00626851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C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Goulburn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D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Low Reliability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E" w14:textId="45BF6E9E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D67D1">
              <w:rPr>
                <w:rFonts w:cs="Arial"/>
                <w:sz w:val="16"/>
                <w:szCs w:val="16"/>
              </w:rPr>
              <w:t>319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7F" w14:textId="5383E7CD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D67D1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80" w14:textId="42D04867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D67D1">
              <w:rPr>
                <w:rFonts w:cs="Arial"/>
                <w:sz w:val="16"/>
                <w:szCs w:val="16"/>
              </w:rPr>
              <w:t>325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81" w14:textId="36E35A6D" w:rsidR="008D67D1" w:rsidRPr="007D3735" w:rsidRDefault="00582A17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</w:t>
            </w:r>
            <w:r w:rsidR="008D67D1">
              <w:rPr>
                <w:rFonts w:cs="Arial"/>
                <w:sz w:val="16"/>
                <w:szCs w:val="16"/>
              </w:rPr>
              <w:t xml:space="preserve"> – 340</w:t>
            </w:r>
          </w:p>
        </w:tc>
      </w:tr>
      <w:tr w:rsidR="008D67D1" w:rsidRPr="00535408" w14:paraId="0FC29789" w14:textId="77777777" w:rsidTr="00503D43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83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Campaspe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84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High Reliability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85" w14:textId="1D0CBE41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9786" w14:textId="3285B6F7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D6432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9787" w14:textId="67F90B46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D6432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88" w14:textId="1F91B23E" w:rsidR="008D67D1" w:rsidRPr="007D3735" w:rsidRDefault="00582A17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D3735">
              <w:rPr>
                <w:rFonts w:cs="Arial"/>
                <w:sz w:val="16"/>
                <w:szCs w:val="16"/>
              </w:rPr>
              <w:t>No listings</w:t>
            </w:r>
          </w:p>
        </w:tc>
      </w:tr>
      <w:tr w:rsidR="008D67D1" w:rsidRPr="00535408" w14:paraId="0FC29790" w14:textId="77777777" w:rsidTr="00C2520A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8A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Loddon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8B" w14:textId="77777777" w:rsidR="008D67D1" w:rsidRPr="00535408" w:rsidRDefault="008D67D1" w:rsidP="008D67D1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High Reliability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8C" w14:textId="41781131" w:rsidR="008D67D1" w:rsidRPr="00EE1223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978D" w14:textId="0D11FC9D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D6432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978E" w14:textId="2251B6A2" w:rsidR="008D67D1" w:rsidRPr="000362FF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D6432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8F" w14:textId="2FF6B503" w:rsidR="008D67D1" w:rsidRPr="007D3735" w:rsidRDefault="008D67D1" w:rsidP="008D67D1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7D3735">
              <w:rPr>
                <w:rFonts w:cs="Arial"/>
                <w:sz w:val="16"/>
                <w:szCs w:val="16"/>
              </w:rPr>
              <w:t>No listings</w:t>
            </w:r>
          </w:p>
        </w:tc>
      </w:tr>
      <w:tr w:rsidR="00582A17" w:rsidRPr="003B16DA" w14:paraId="0FC29797" w14:textId="77777777" w:rsidTr="00626851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91" w14:textId="77777777" w:rsidR="00582A17" w:rsidRPr="003B16DA" w:rsidRDefault="00582A17" w:rsidP="00582A17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NSW Murray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92" w14:textId="77777777" w:rsidR="00582A17" w:rsidRPr="003B16DA" w:rsidRDefault="00582A17" w:rsidP="00582A17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General Security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93" w14:textId="6C554399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582A17">
              <w:rPr>
                <w:rFonts w:cs="Arial"/>
                <w:sz w:val="16"/>
                <w:szCs w:val="16"/>
              </w:rPr>
              <w:t>215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94" w14:textId="024D0642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582A17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95" w14:textId="5D6D3EA0" w:rsidR="00582A17" w:rsidRPr="003B16DA" w:rsidRDefault="00582A17" w:rsidP="00582A17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582A17">
              <w:rPr>
                <w:rFonts w:cs="Arial"/>
                <w:sz w:val="16"/>
                <w:szCs w:val="16"/>
              </w:rPr>
              <w:t>270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96" w14:textId="05F80EC1" w:rsidR="00582A17" w:rsidRPr="007D3735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1 200 – 1 35</w:t>
            </w:r>
            <w:r w:rsidRPr="007D3735">
              <w:rPr>
                <w:rFonts w:cs="Arial"/>
                <w:sz w:val="16"/>
                <w:szCs w:val="16"/>
              </w:rPr>
              <w:t>0</w:t>
            </w:r>
          </w:p>
        </w:tc>
      </w:tr>
      <w:tr w:rsidR="00582A17" w:rsidRPr="003B16DA" w14:paraId="0FC2979E" w14:textId="77777777" w:rsidTr="00626851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98" w14:textId="77777777" w:rsidR="00582A17" w:rsidRPr="003B16DA" w:rsidRDefault="00582A17" w:rsidP="00582A17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NSW Murray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99" w14:textId="77777777" w:rsidR="00582A17" w:rsidRPr="003B16DA" w:rsidRDefault="00582A17" w:rsidP="00582A17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High Security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9A" w14:textId="46D2329A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 </w:t>
            </w:r>
            <w:r w:rsidRPr="00582A17">
              <w:rPr>
                <w:rFonts w:cs="Arial"/>
                <w:sz w:val="16"/>
                <w:szCs w:val="16"/>
              </w:rPr>
              <w:t>420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9B" w14:textId="7065DEAD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 </w:t>
            </w:r>
            <w:r w:rsidRPr="00582A17">
              <w:rPr>
                <w:rFonts w:cs="Arial"/>
                <w:sz w:val="16"/>
                <w:szCs w:val="16"/>
              </w:rPr>
              <w:t>420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9C" w14:textId="3575679D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 </w:t>
            </w:r>
            <w:r w:rsidRPr="00582A17">
              <w:rPr>
                <w:rFonts w:cs="Arial"/>
                <w:sz w:val="16"/>
                <w:szCs w:val="16"/>
              </w:rPr>
              <w:t>420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9D" w14:textId="191C72F7" w:rsidR="00582A17" w:rsidRPr="007D3735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3 350 – 3 50</w:t>
            </w:r>
            <w:r w:rsidRPr="007D3735">
              <w:rPr>
                <w:rFonts w:cs="Arial"/>
                <w:sz w:val="16"/>
                <w:szCs w:val="16"/>
              </w:rPr>
              <w:t>0</w:t>
            </w:r>
          </w:p>
        </w:tc>
      </w:tr>
      <w:tr w:rsidR="00582A17" w:rsidRPr="003B16DA" w14:paraId="0FC297A5" w14:textId="77777777" w:rsidTr="00626851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9F" w14:textId="77777777" w:rsidR="00582A17" w:rsidRPr="003B16DA" w:rsidRDefault="00582A17" w:rsidP="00582A17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NSW Murray Irrigation Limited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0" w14:textId="77777777" w:rsidR="00582A17" w:rsidRPr="003B16DA" w:rsidRDefault="00582A17" w:rsidP="00582A17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General Security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1" w14:textId="650E638B" w:rsidR="00582A17" w:rsidRPr="007B74AE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582A17">
              <w:rPr>
                <w:rFonts w:cs="Arial"/>
                <w:sz w:val="16"/>
                <w:szCs w:val="16"/>
              </w:rPr>
              <w:t>188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2" w14:textId="56AC869C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582A17">
              <w:rPr>
                <w:rFonts w:cs="Arial"/>
                <w:sz w:val="16"/>
                <w:szCs w:val="16"/>
              </w:rPr>
              <w:t>175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3" w14:textId="5D653BF8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582A17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A4" w14:textId="65277398" w:rsidR="00582A17" w:rsidRPr="007D3735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1 200 – 1 300</w:t>
            </w:r>
          </w:p>
        </w:tc>
      </w:tr>
      <w:tr w:rsidR="00582A17" w:rsidRPr="003B16DA" w14:paraId="0FC297AC" w14:textId="77777777" w:rsidTr="00626851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6" w14:textId="77777777" w:rsidR="00582A17" w:rsidRPr="003B16DA" w:rsidRDefault="00582A17" w:rsidP="00582A17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Murrumbidgee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7" w14:textId="77777777" w:rsidR="00582A17" w:rsidRPr="003B16DA" w:rsidRDefault="00582A17" w:rsidP="00582A17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General Security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8" w14:textId="4BD1774D" w:rsidR="00582A17" w:rsidRPr="007B74AE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582A17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9" w14:textId="3E5CDA5B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582A17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A" w14:textId="7E81D05F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582A17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AB" w14:textId="1539F0CF" w:rsidR="00582A17" w:rsidRPr="007D3735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1 450 – 1 55</w:t>
            </w:r>
            <w:r w:rsidRPr="007D3735">
              <w:rPr>
                <w:rFonts w:cs="Arial"/>
                <w:sz w:val="16"/>
                <w:szCs w:val="16"/>
              </w:rPr>
              <w:t>0</w:t>
            </w:r>
          </w:p>
        </w:tc>
      </w:tr>
      <w:tr w:rsidR="00582A17" w:rsidRPr="003B16DA" w14:paraId="0FC297B3" w14:textId="77777777" w:rsidTr="00EC1142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D" w14:textId="77777777" w:rsidR="00582A17" w:rsidRPr="003B16DA" w:rsidRDefault="00582A17" w:rsidP="00582A17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Murrumbidgee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E" w14:textId="77777777" w:rsidR="00582A17" w:rsidRPr="003B16DA" w:rsidRDefault="00582A17" w:rsidP="00582A17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High Security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AF" w14:textId="0630ED11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 </w:t>
            </w:r>
            <w:r w:rsidRPr="00582A17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B0" w14:textId="0D6B4F95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 </w:t>
            </w:r>
            <w:r w:rsidRPr="00582A17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B1" w14:textId="5AA7CC42" w:rsidR="00582A17" w:rsidRPr="003B16DA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 </w:t>
            </w:r>
            <w:r w:rsidRPr="00582A17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B2" w14:textId="1BC961F9" w:rsidR="00582A17" w:rsidRPr="007D3735" w:rsidRDefault="00582A17" w:rsidP="00582A17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3 400 – 3 8</w:t>
            </w:r>
            <w:r w:rsidRPr="007D3735">
              <w:rPr>
                <w:rFonts w:cs="Arial"/>
                <w:sz w:val="16"/>
                <w:szCs w:val="16"/>
              </w:rPr>
              <w:t>00</w:t>
            </w:r>
          </w:p>
        </w:tc>
      </w:tr>
      <w:tr w:rsidR="001F6EB5" w:rsidRPr="003B16DA" w14:paraId="0FC297BA" w14:textId="77777777" w:rsidTr="002F3CE8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B4" w14:textId="77777777" w:rsidR="001F6EB5" w:rsidRPr="003B16DA" w:rsidRDefault="001F6EB5" w:rsidP="001F6EB5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Lower Darling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B5" w14:textId="77777777" w:rsidR="001F6EB5" w:rsidRPr="003B16DA" w:rsidRDefault="001F6EB5" w:rsidP="001F6EB5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General Security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B6" w14:textId="7BD9F321" w:rsidR="001F6EB5" w:rsidRPr="003B16DA" w:rsidRDefault="001F6EB5" w:rsidP="001F6EB5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E1223">
              <w:rPr>
                <w:rFonts w:cs="Arial"/>
                <w:sz w:val="16"/>
                <w:szCs w:val="16"/>
              </w:rPr>
              <w:t> </w:t>
            </w: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97B7" w14:textId="0DBB622C" w:rsidR="001F6EB5" w:rsidRPr="003B16DA" w:rsidRDefault="001F6EB5" w:rsidP="001F6EB5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A38F4">
              <w:rPr>
                <w:rFonts w:cs="Arial"/>
                <w:sz w:val="16"/>
                <w:szCs w:val="16"/>
              </w:rPr>
              <w:t> -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97B8" w14:textId="0CC525A5" w:rsidR="001F6EB5" w:rsidRPr="003B16DA" w:rsidRDefault="001F6EB5" w:rsidP="001F6EB5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A38F4">
              <w:rPr>
                <w:rFonts w:cs="Arial"/>
                <w:sz w:val="16"/>
                <w:szCs w:val="16"/>
              </w:rPr>
              <w:t> -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B9" w14:textId="77777777" w:rsidR="001F6EB5" w:rsidRPr="007D3735" w:rsidRDefault="001F6EB5" w:rsidP="001F6EB5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D3735">
              <w:rPr>
                <w:rFonts w:cs="Arial"/>
                <w:sz w:val="16"/>
                <w:szCs w:val="16"/>
              </w:rPr>
              <w:t>No listings</w:t>
            </w:r>
          </w:p>
        </w:tc>
      </w:tr>
      <w:tr w:rsidR="001F6EB5" w:rsidRPr="003B16DA" w14:paraId="0FC297C1" w14:textId="77777777" w:rsidTr="002F3CE8"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BB" w14:textId="77777777" w:rsidR="001F6EB5" w:rsidRPr="003B16DA" w:rsidRDefault="001F6EB5" w:rsidP="001F6EB5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Lower Darling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BC" w14:textId="77777777" w:rsidR="001F6EB5" w:rsidRPr="003B16DA" w:rsidRDefault="001F6EB5" w:rsidP="001F6EB5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High Security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97BD" w14:textId="3499B98F" w:rsidR="001F6EB5" w:rsidRPr="003B16DA" w:rsidRDefault="001F6EB5" w:rsidP="001F6EB5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E1223">
              <w:rPr>
                <w:rFonts w:cs="Arial"/>
                <w:sz w:val="16"/>
                <w:szCs w:val="16"/>
              </w:rPr>
              <w:t> </w:t>
            </w: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97BE" w14:textId="5F842DA4" w:rsidR="001F6EB5" w:rsidRPr="003B16DA" w:rsidRDefault="001F6EB5" w:rsidP="001F6EB5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A38F4">
              <w:rPr>
                <w:rFonts w:cs="Arial"/>
                <w:sz w:val="16"/>
                <w:szCs w:val="16"/>
              </w:rPr>
              <w:t> -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97BF" w14:textId="2F6A8B72" w:rsidR="001F6EB5" w:rsidRPr="003B16DA" w:rsidRDefault="001F6EB5" w:rsidP="001F6EB5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A38F4">
              <w:rPr>
                <w:rFonts w:cs="Arial"/>
                <w:sz w:val="16"/>
                <w:szCs w:val="16"/>
              </w:rPr>
              <w:t> -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7C0" w14:textId="77777777" w:rsidR="001F6EB5" w:rsidRPr="007D3735" w:rsidRDefault="001F6EB5" w:rsidP="001F6EB5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D3735">
              <w:rPr>
                <w:rFonts w:cs="Arial"/>
                <w:sz w:val="16"/>
                <w:szCs w:val="16"/>
              </w:rPr>
              <w:t>No listings</w:t>
            </w:r>
          </w:p>
        </w:tc>
      </w:tr>
    </w:tbl>
    <w:p w14:paraId="0FC297C2" w14:textId="77777777" w:rsidR="003C74A1" w:rsidRPr="003B16DA" w:rsidRDefault="003C74A1" w:rsidP="00320269">
      <w:pPr>
        <w:pStyle w:val="MJA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920"/>
        <w:gridCol w:w="1577"/>
        <w:gridCol w:w="1950"/>
        <w:gridCol w:w="548"/>
        <w:gridCol w:w="2503"/>
        <w:gridCol w:w="475"/>
        <w:gridCol w:w="2031"/>
        <w:gridCol w:w="2494"/>
      </w:tblGrid>
      <w:tr w:rsidR="003310BF" w:rsidRPr="003B16DA" w14:paraId="0FC297C9" w14:textId="77777777" w:rsidTr="00626851">
        <w:tc>
          <w:tcPr>
            <w:tcW w:w="871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0FC297C4" w14:textId="77777777" w:rsidR="003310BF" w:rsidRPr="00626851" w:rsidRDefault="003310BF" w:rsidP="003310BF">
            <w:pPr>
              <w:pStyle w:val="MJAnormal"/>
              <w:keepNext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>Region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0FC297C5" w14:textId="77777777" w:rsidR="003310BF" w:rsidRPr="00626851" w:rsidRDefault="003310BF" w:rsidP="003310BF">
            <w:pPr>
              <w:pStyle w:val="MJAnormal"/>
              <w:keepNext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>Entitlement Type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2B2F4A13" w14:textId="1EEAF457" w:rsidR="00C825FC" w:rsidRDefault="00CF19FC" w:rsidP="00C825FC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>
              <w:rPr>
                <w:rFonts w:ascii="Calibri" w:hAnsi="Calibri"/>
                <w:b/>
                <w:sz w:val="20"/>
                <w:szCs w:val="16"/>
              </w:rPr>
              <w:t>April</w:t>
            </w:r>
            <w:r w:rsidR="00C825FC" w:rsidRPr="00626851">
              <w:rPr>
                <w:rFonts w:ascii="Calibri" w:hAnsi="Calibri"/>
                <w:b/>
                <w:sz w:val="20"/>
                <w:szCs w:val="16"/>
              </w:rPr>
              <w:t xml:space="preserve"> 201</w:t>
            </w:r>
            <w:r w:rsidR="00C825FC">
              <w:rPr>
                <w:rFonts w:ascii="Calibri" w:hAnsi="Calibri"/>
                <w:b/>
                <w:sz w:val="20"/>
                <w:szCs w:val="16"/>
              </w:rPr>
              <w:t>7</w:t>
            </w:r>
          </w:p>
          <w:p w14:paraId="0FC297C6" w14:textId="3B83E356" w:rsidR="003310BF" w:rsidRPr="00626851" w:rsidRDefault="003310BF" w:rsidP="002A58DC">
            <w:pPr>
              <w:pStyle w:val="MJAnormal"/>
              <w:keepNext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>VWAP</w:t>
            </w:r>
            <w:r w:rsidRPr="00626851">
              <w:rPr>
                <w:rStyle w:val="FootnoteReference"/>
                <w:rFonts w:ascii="Calibri" w:hAnsi="Calibri"/>
                <w:b/>
                <w:sz w:val="20"/>
                <w:szCs w:val="16"/>
              </w:rPr>
              <w:footnoteReference w:id="3"/>
            </w:r>
            <w:r w:rsidRPr="00626851">
              <w:rPr>
                <w:rFonts w:ascii="Calibri" w:hAnsi="Calibri"/>
                <w:b/>
                <w:sz w:val="20"/>
                <w:szCs w:val="16"/>
              </w:rPr>
              <w:t xml:space="preserve"> ($/ML)</w:t>
            </w:r>
          </w:p>
        </w:tc>
        <w:tc>
          <w:tcPr>
            <w:tcW w:w="165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C297C7" w14:textId="299CEC78" w:rsidR="003310BF" w:rsidRPr="00626851" w:rsidRDefault="00CF19FC" w:rsidP="00C825FC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>
              <w:rPr>
                <w:rFonts w:ascii="Calibri" w:hAnsi="Calibri"/>
                <w:b/>
                <w:sz w:val="20"/>
                <w:szCs w:val="16"/>
              </w:rPr>
              <w:t>April</w:t>
            </w:r>
            <w:r w:rsidR="00C825FC" w:rsidRPr="00626851">
              <w:rPr>
                <w:rFonts w:ascii="Calibri" w:hAnsi="Calibri"/>
                <w:b/>
                <w:sz w:val="20"/>
                <w:szCs w:val="16"/>
              </w:rPr>
              <w:t xml:space="preserve"> 201</w:t>
            </w:r>
            <w:r w:rsidR="00C825FC">
              <w:rPr>
                <w:rFonts w:ascii="Calibri" w:hAnsi="Calibri"/>
                <w:b/>
                <w:sz w:val="20"/>
                <w:szCs w:val="16"/>
              </w:rPr>
              <w:t>7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0FC297C8" w14:textId="6B944699" w:rsidR="003310BF" w:rsidRPr="00626851" w:rsidRDefault="003310BF" w:rsidP="003310BF">
            <w:pPr>
              <w:pStyle w:val="MJAnormal"/>
              <w:keepNext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 xml:space="preserve">Broker buy/sell range </w:t>
            </w:r>
            <w:r w:rsidRPr="00626851">
              <w:rPr>
                <w:rStyle w:val="FootnoteReference"/>
                <w:rFonts w:ascii="Calibri" w:hAnsi="Calibri"/>
                <w:b/>
                <w:sz w:val="20"/>
                <w:szCs w:val="16"/>
              </w:rPr>
              <w:footnoteReference w:id="4"/>
            </w:r>
            <w:r w:rsidRPr="00626851">
              <w:rPr>
                <w:rFonts w:ascii="Calibri" w:hAnsi="Calibri"/>
                <w:b/>
                <w:sz w:val="20"/>
                <w:szCs w:val="16"/>
              </w:rPr>
              <w:t xml:space="preserve"> ($/ML)</w:t>
            </w:r>
          </w:p>
        </w:tc>
      </w:tr>
      <w:tr w:rsidR="004A668A" w:rsidRPr="003B16DA" w14:paraId="0FC297D0" w14:textId="77777777" w:rsidTr="00626851">
        <w:trPr>
          <w:trHeight w:val="178"/>
        </w:trPr>
        <w:tc>
          <w:tcPr>
            <w:tcW w:w="871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0093D0"/>
          </w:tcPr>
          <w:p w14:paraId="0FC297CA" w14:textId="77777777" w:rsidR="00E35A35" w:rsidRPr="003B16DA" w:rsidRDefault="00E35A35" w:rsidP="00E677EC">
            <w:pPr>
              <w:pStyle w:val="MJAnormal"/>
              <w:rPr>
                <w:rFonts w:ascii="Calibri" w:hAnsi="Calibri"/>
                <w:color w:val="FFFFFF"/>
                <w:sz w:val="20"/>
                <w:szCs w:val="16"/>
              </w:rPr>
            </w:pPr>
          </w:p>
        </w:tc>
        <w:tc>
          <w:tcPr>
            <w:tcW w:w="825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0093D0"/>
          </w:tcPr>
          <w:p w14:paraId="0FC297CB" w14:textId="77777777" w:rsidR="00E35A35" w:rsidRPr="003B16DA" w:rsidRDefault="00E35A35" w:rsidP="00E677EC">
            <w:pPr>
              <w:pStyle w:val="MJAnormal"/>
              <w:rPr>
                <w:rFonts w:ascii="Calibri" w:hAnsi="Calibri"/>
                <w:color w:val="FFFFFF"/>
                <w:sz w:val="20"/>
                <w:szCs w:val="16"/>
              </w:rPr>
            </w:pPr>
          </w:p>
        </w:tc>
        <w:tc>
          <w:tcPr>
            <w:tcW w:w="825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0093D0"/>
          </w:tcPr>
          <w:p w14:paraId="0FC297CC" w14:textId="77777777" w:rsidR="00E35A35" w:rsidRPr="003B16DA" w:rsidRDefault="00E35A35" w:rsidP="00535408">
            <w:pPr>
              <w:pStyle w:val="MJAnormal"/>
              <w:jc w:val="center"/>
              <w:rPr>
                <w:rFonts w:ascii="Calibri" w:hAnsi="Calibri"/>
                <w:color w:val="FFFFFF"/>
                <w:sz w:val="20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C297CD" w14:textId="5FECEA9E" w:rsidR="00E35A35" w:rsidRPr="00626851" w:rsidRDefault="00E35A35" w:rsidP="00535408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>25th percentile</w:t>
            </w:r>
            <w:r w:rsidR="00F935EE" w:rsidRPr="00626851">
              <w:rPr>
                <w:rFonts w:ascii="Calibri" w:hAnsi="Calibri"/>
                <w:b/>
                <w:sz w:val="20"/>
                <w:szCs w:val="16"/>
              </w:rPr>
              <w:t xml:space="preserve"> ($/ML)</w:t>
            </w:r>
          </w:p>
        </w:tc>
        <w:tc>
          <w:tcPr>
            <w:tcW w:w="8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C297CE" w14:textId="519943C8" w:rsidR="00E35A35" w:rsidRPr="00626851" w:rsidRDefault="00E35A35" w:rsidP="00535408">
            <w:pPr>
              <w:pStyle w:val="MJAnormal"/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 w:rsidRPr="00626851">
              <w:rPr>
                <w:rFonts w:ascii="Calibri" w:hAnsi="Calibri"/>
                <w:b/>
                <w:sz w:val="20"/>
                <w:szCs w:val="16"/>
              </w:rPr>
              <w:t>75th percentile</w:t>
            </w:r>
            <w:r w:rsidR="00F935EE" w:rsidRPr="00626851">
              <w:rPr>
                <w:rFonts w:ascii="Calibri" w:hAnsi="Calibri"/>
                <w:b/>
                <w:sz w:val="20"/>
                <w:szCs w:val="16"/>
              </w:rPr>
              <w:t xml:space="preserve"> ($/ML)</w:t>
            </w:r>
          </w:p>
        </w:tc>
        <w:tc>
          <w:tcPr>
            <w:tcW w:w="82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FC297CF" w14:textId="77777777" w:rsidR="00E35A35" w:rsidRPr="003B16DA" w:rsidRDefault="00E35A35" w:rsidP="00535408">
            <w:pPr>
              <w:pStyle w:val="MJAnormal"/>
              <w:jc w:val="center"/>
              <w:rPr>
                <w:rFonts w:ascii="Calibri" w:hAnsi="Calibri"/>
                <w:color w:val="FFFFFF"/>
                <w:sz w:val="20"/>
                <w:szCs w:val="16"/>
              </w:rPr>
            </w:pPr>
          </w:p>
        </w:tc>
      </w:tr>
      <w:tr w:rsidR="004A668A" w:rsidRPr="003B16DA" w14:paraId="0FC297D5" w14:textId="77777777" w:rsidTr="00626851"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FC297D1" w14:textId="77777777" w:rsidR="00A64FB4" w:rsidRPr="003310BF" w:rsidRDefault="00A64FB4" w:rsidP="00535408">
            <w:pPr>
              <w:pStyle w:val="MJAnormal"/>
              <w:spacing w:before="40" w:after="40" w:line="240" w:lineRule="auto"/>
              <w:rPr>
                <w:rFonts w:ascii="Calibri" w:hAnsi="Calibri" w:cs="Arial"/>
                <w:b/>
                <w:sz w:val="16"/>
                <w:szCs w:val="16"/>
              </w:rPr>
            </w:pPr>
            <w:r w:rsidRPr="003310BF">
              <w:rPr>
                <w:rFonts w:ascii="Calibri" w:hAnsi="Calibri" w:cs="Arial"/>
                <w:b/>
                <w:sz w:val="16"/>
                <w:szCs w:val="16"/>
              </w:rPr>
              <w:t>Northern Murray-Darling Basin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FC297D2" w14:textId="77777777" w:rsidR="00A64FB4" w:rsidRPr="003B16DA" w:rsidRDefault="00A64FB4" w:rsidP="00535408">
            <w:pPr>
              <w:pStyle w:val="MJAnormal"/>
              <w:spacing w:before="40" w:after="4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FC297D3" w14:textId="77777777" w:rsidR="00A64FB4" w:rsidRPr="003B16DA" w:rsidRDefault="00A64FB4" w:rsidP="00535408">
            <w:pPr>
              <w:pStyle w:val="MJAnormal"/>
              <w:spacing w:before="40" w:after="4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FC297D4" w14:textId="77777777" w:rsidR="00A64FB4" w:rsidRPr="003B16DA" w:rsidRDefault="00A64FB4" w:rsidP="00535408">
            <w:pPr>
              <w:pStyle w:val="MJAnormal"/>
              <w:spacing w:before="40" w:after="4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65A06" w:rsidRPr="003B16DA" w14:paraId="0FC297DC" w14:textId="77777777" w:rsidTr="00B06866"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7D6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lastRenderedPageBreak/>
              <w:t>Macquarie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D7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General Security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D8" w14:textId="07A1C46F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D65A06">
              <w:rPr>
                <w:rFonts w:cs="Arial"/>
                <w:sz w:val="16"/>
                <w:szCs w:val="16"/>
              </w:rPr>
              <w:t>319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D9" w14:textId="5EE01B36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D65A06">
              <w:rPr>
                <w:rFonts w:cs="Arial"/>
                <w:sz w:val="16"/>
                <w:szCs w:val="16"/>
              </w:rPr>
              <w:t>313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DA" w14:textId="3E63D01C" w:rsidR="00D65A06" w:rsidRPr="003B16DA" w:rsidRDefault="00D65A06" w:rsidP="00D65A06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D65A06">
              <w:rPr>
                <w:rFonts w:cs="Arial"/>
                <w:sz w:val="16"/>
                <w:szCs w:val="16"/>
              </w:rPr>
              <w:t>338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C297DB" w14:textId="0D0AD173" w:rsidR="00D65A06" w:rsidRPr="007D3735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1 25</w:t>
            </w:r>
            <w:r w:rsidRPr="007D373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– 1 35</w:t>
            </w:r>
            <w:r w:rsidRPr="007D3735">
              <w:rPr>
                <w:rFonts w:cs="Arial"/>
                <w:sz w:val="16"/>
                <w:szCs w:val="16"/>
              </w:rPr>
              <w:t>0</w:t>
            </w:r>
          </w:p>
        </w:tc>
      </w:tr>
      <w:tr w:rsidR="00D65A06" w:rsidRPr="003B16DA" w14:paraId="0FC297E3" w14:textId="77777777" w:rsidTr="00B06866"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7DD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Namoi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DE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General Security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DF" w14:textId="754B249C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D65A06">
              <w:rPr>
                <w:rFonts w:cs="Arial"/>
                <w:sz w:val="16"/>
                <w:szCs w:val="16"/>
              </w:rPr>
              <w:t>883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E0" w14:textId="24E5745C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 </w:t>
            </w:r>
            <w:r w:rsidRPr="00D65A06">
              <w:rPr>
                <w:rFonts w:cs="Arial"/>
                <w:sz w:val="16"/>
                <w:szCs w:val="16"/>
              </w:rPr>
              <w:t>881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E1" w14:textId="5728576A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D65A06">
              <w:rPr>
                <w:rFonts w:cs="Arial"/>
                <w:sz w:val="16"/>
                <w:szCs w:val="16"/>
              </w:rPr>
              <w:t>018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C297E2" w14:textId="3EFD4645" w:rsidR="00D65A06" w:rsidRPr="007D3735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1 900 – 2 15</w:t>
            </w:r>
            <w:r w:rsidRPr="007D3735">
              <w:rPr>
                <w:rFonts w:cs="Arial"/>
                <w:sz w:val="16"/>
                <w:szCs w:val="16"/>
              </w:rPr>
              <w:t>0</w:t>
            </w:r>
          </w:p>
        </w:tc>
      </w:tr>
      <w:tr w:rsidR="00D65A06" w:rsidRPr="003B16DA" w14:paraId="0FC297EA" w14:textId="77777777" w:rsidTr="00A56CBD"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7E4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Gwydir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E5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General Security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7E6" w14:textId="12025C11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04674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7E7" w14:textId="3C4DEF1F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04674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7E8" w14:textId="3A825CCB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04674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297E9" w14:textId="52554658" w:rsidR="00D65A06" w:rsidRPr="007D3735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2 2</w:t>
            </w:r>
            <w:r w:rsidRPr="007D3735">
              <w:rPr>
                <w:rFonts w:cs="Arial"/>
                <w:sz w:val="16"/>
                <w:szCs w:val="16"/>
              </w:rPr>
              <w:t>00 – 2 300</w:t>
            </w:r>
          </w:p>
        </w:tc>
      </w:tr>
      <w:tr w:rsidR="00D65A06" w:rsidRPr="003B16DA" w14:paraId="0FC297F1" w14:textId="77777777" w:rsidTr="00B06866"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7EB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NSW Border Rivers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EC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General Security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ED" w14:textId="4A301305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D65A06">
              <w:rPr>
                <w:rFonts w:cs="Arial"/>
                <w:sz w:val="16"/>
                <w:szCs w:val="16"/>
              </w:rPr>
              <w:t>035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EE" w14:textId="4DE57F02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 </w:t>
            </w:r>
            <w:r w:rsidRPr="00D65A06">
              <w:rPr>
                <w:rFonts w:cs="Arial"/>
                <w:sz w:val="16"/>
                <w:szCs w:val="16"/>
              </w:rPr>
              <w:t>394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EF" w14:textId="57F80766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 </w:t>
            </w:r>
            <w:r w:rsidRPr="00D65A06">
              <w:rPr>
                <w:rFonts w:cs="Arial"/>
                <w:sz w:val="16"/>
                <w:szCs w:val="16"/>
              </w:rPr>
              <w:t>465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297F0" w14:textId="24FACD7A" w:rsidR="00D65A06" w:rsidRPr="007D3735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2 000 – 3 30</w:t>
            </w:r>
            <w:r w:rsidRPr="007D3735">
              <w:rPr>
                <w:rFonts w:cs="Arial"/>
                <w:sz w:val="16"/>
                <w:szCs w:val="16"/>
              </w:rPr>
              <w:t>0</w:t>
            </w:r>
          </w:p>
        </w:tc>
      </w:tr>
      <w:tr w:rsidR="00D65A06" w:rsidRPr="003B16DA" w14:paraId="0FC297F8" w14:textId="77777777" w:rsidTr="00374EF5"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7F2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 xml:space="preserve">Barwon Darling 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F3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Unregulated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7F4" w14:textId="18BC25E9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1EE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7F5" w14:textId="7EC43CED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1EE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7F6" w14:textId="596AC5D8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1EE1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297F7" w14:textId="35E0F18A" w:rsidR="00D65A06" w:rsidRPr="007D3735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1 100 – 1 400</w:t>
            </w:r>
          </w:p>
        </w:tc>
      </w:tr>
      <w:tr w:rsidR="00D65A06" w:rsidRPr="003B16DA" w14:paraId="0FC297FF" w14:textId="77777777" w:rsidTr="00626851"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7F9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Lachlan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FA" w14:textId="77777777" w:rsidR="00D65A06" w:rsidRPr="003B16DA" w:rsidRDefault="00D65A06" w:rsidP="00D65A06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General Security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FB" w14:textId="77DF7FF5" w:rsidR="00D65A06" w:rsidRPr="001F6EB5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65A06">
              <w:rPr>
                <w:rFonts w:cs="Arial"/>
                <w:sz w:val="16"/>
                <w:szCs w:val="16"/>
              </w:rPr>
              <w:t>550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FC" w14:textId="45EC1B7C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65A06">
              <w:rPr>
                <w:rFonts w:cs="Arial"/>
                <w:sz w:val="16"/>
                <w:szCs w:val="16"/>
              </w:rPr>
              <w:t>550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7FD" w14:textId="7BC5190E" w:rsidR="00D65A06" w:rsidRPr="003B16DA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65A06">
              <w:rPr>
                <w:rFonts w:cs="Arial"/>
                <w:sz w:val="16"/>
                <w:szCs w:val="16"/>
              </w:rPr>
              <w:t>550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C297FE" w14:textId="335B1609" w:rsidR="00D65A06" w:rsidRPr="007D3735" w:rsidRDefault="00D65A06" w:rsidP="00D65A06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550 – 650</w:t>
            </w:r>
          </w:p>
        </w:tc>
      </w:tr>
      <w:tr w:rsidR="002A58DC" w:rsidRPr="003B16DA" w14:paraId="0FC29806" w14:textId="77777777" w:rsidTr="004D3054">
        <w:trPr>
          <w:trHeight w:val="63"/>
        </w:trPr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800" w14:textId="31E22FDF" w:rsidR="002A58DC" w:rsidRPr="003B16DA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QLD Border Rivers</w:t>
            </w:r>
            <w:r w:rsidR="002B5F4B" w:rsidRPr="00DE4B83">
              <w:rPr>
                <w:rFonts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01" w14:textId="77777777" w:rsidR="002A58DC" w:rsidRPr="003B16DA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Supplemented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802" w14:textId="77BF6DDD" w:rsidR="002A58DC" w:rsidRPr="003506D3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B48A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03" w14:textId="7D4E1CD8" w:rsidR="002A58DC" w:rsidRPr="003B16DA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04" w14:textId="29A3C2A4" w:rsidR="002A58DC" w:rsidRPr="003B16DA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C29805" w14:textId="77777777" w:rsidR="002A58DC" w:rsidRPr="007D3735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D3735">
              <w:rPr>
                <w:rFonts w:cs="Arial"/>
                <w:sz w:val="16"/>
                <w:szCs w:val="16"/>
              </w:rPr>
              <w:t>No listings</w:t>
            </w:r>
          </w:p>
        </w:tc>
      </w:tr>
      <w:tr w:rsidR="002A58DC" w:rsidRPr="003B16DA" w14:paraId="0FC2980D" w14:textId="77777777" w:rsidTr="00626851"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807" w14:textId="4D53571A" w:rsidR="002A58DC" w:rsidRPr="003B16DA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QLD Border Rivers</w:t>
            </w:r>
            <w:r w:rsidR="002B5F4B" w:rsidRPr="00DE4B83">
              <w:rPr>
                <w:rFonts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08" w14:textId="77777777" w:rsidR="002A58DC" w:rsidRPr="003B16DA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3B16DA">
              <w:rPr>
                <w:rFonts w:cs="Arial"/>
                <w:sz w:val="16"/>
                <w:szCs w:val="16"/>
              </w:rPr>
              <w:t>Unsupplemented</w:t>
            </w:r>
            <w:proofErr w:type="spellEnd"/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809" w14:textId="59ED79D9" w:rsidR="002A58DC" w:rsidRPr="003B16DA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B48A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0A" w14:textId="6A8728DA" w:rsidR="002A58DC" w:rsidRPr="003B16DA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0B" w14:textId="06FDBEC1" w:rsidR="002A58DC" w:rsidRPr="003B16DA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C2980C" w14:textId="77777777" w:rsidR="002A58DC" w:rsidRPr="007D3735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D3735">
              <w:rPr>
                <w:rFonts w:cs="Arial"/>
                <w:sz w:val="16"/>
                <w:szCs w:val="16"/>
              </w:rPr>
              <w:t>No listings</w:t>
            </w:r>
          </w:p>
        </w:tc>
      </w:tr>
      <w:tr w:rsidR="002A58DC" w:rsidRPr="003B16DA" w14:paraId="0FC29814" w14:textId="77777777" w:rsidTr="00626851"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80E" w14:textId="5FAF53FC" w:rsidR="002A58DC" w:rsidRPr="003B16DA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Condamine Balonne (St George)</w:t>
            </w:r>
            <w:r w:rsidR="002B5F4B" w:rsidRPr="00DE4B83">
              <w:rPr>
                <w:rFonts w:cs="Arial"/>
                <w:sz w:val="16"/>
                <w:szCs w:val="16"/>
                <w:vertAlign w:val="superscript"/>
              </w:rPr>
              <w:t xml:space="preserve"> 5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0F" w14:textId="77777777" w:rsidR="002A58DC" w:rsidRPr="003B16DA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Supplemented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810" w14:textId="3E562142" w:rsidR="002A58DC" w:rsidRPr="003B16DA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B48A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11" w14:textId="76B97548" w:rsidR="002A58DC" w:rsidRPr="003B16DA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12" w14:textId="64BC6801" w:rsidR="002A58DC" w:rsidRPr="003B16DA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C29813" w14:textId="77777777" w:rsidR="002A58DC" w:rsidRPr="007D3735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D3735">
              <w:rPr>
                <w:rFonts w:cs="Arial"/>
                <w:sz w:val="16"/>
                <w:szCs w:val="16"/>
              </w:rPr>
              <w:t>No listings</w:t>
            </w:r>
          </w:p>
        </w:tc>
      </w:tr>
      <w:tr w:rsidR="002A58DC" w:rsidRPr="003B16DA" w14:paraId="0FC2981B" w14:textId="77777777" w:rsidTr="004D3054"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815" w14:textId="13065622" w:rsidR="002A58DC" w:rsidRPr="003B16DA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Condamine Balonne (Condamine Balonne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B16DA">
              <w:rPr>
                <w:rFonts w:cs="Arial"/>
                <w:sz w:val="16"/>
                <w:szCs w:val="16"/>
              </w:rPr>
              <w:t xml:space="preserve"> Upper Condamine and Lower Balonne)</w:t>
            </w:r>
            <w:r w:rsidR="002B5F4B" w:rsidRPr="00DE4B83">
              <w:rPr>
                <w:rFonts w:cs="Arial"/>
                <w:sz w:val="16"/>
                <w:szCs w:val="16"/>
                <w:vertAlign w:val="superscript"/>
              </w:rPr>
              <w:t xml:space="preserve"> 5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16" w14:textId="77777777" w:rsidR="002A58DC" w:rsidRPr="003B16DA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3B16DA">
              <w:rPr>
                <w:rFonts w:cs="Arial"/>
                <w:sz w:val="16"/>
                <w:szCs w:val="16"/>
              </w:rPr>
              <w:t>Unsupplemented</w:t>
            </w:r>
            <w:proofErr w:type="spellEnd"/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817" w14:textId="26385C6B" w:rsidR="002A58DC" w:rsidRPr="003B16DA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B48A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18" w14:textId="7BE38163" w:rsidR="002A58DC" w:rsidRPr="003B16DA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19" w14:textId="0FF3F467" w:rsidR="002A58DC" w:rsidRPr="003B16DA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81A" w14:textId="77777777" w:rsidR="002A58DC" w:rsidRPr="007D3735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D3735">
              <w:rPr>
                <w:rFonts w:cs="Arial"/>
                <w:sz w:val="16"/>
                <w:szCs w:val="16"/>
              </w:rPr>
              <w:t>No listings</w:t>
            </w:r>
          </w:p>
        </w:tc>
      </w:tr>
      <w:tr w:rsidR="002A58DC" w:rsidRPr="00535408" w14:paraId="0FC29823" w14:textId="77777777" w:rsidTr="004D3054"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81C" w14:textId="44244481" w:rsidR="002A58DC" w:rsidRPr="00535408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Upper Condamine Alluvium</w:t>
            </w:r>
            <w:r>
              <w:rPr>
                <w:rStyle w:val="FootnoteReference"/>
                <w:rFonts w:cs="Arial"/>
                <w:sz w:val="16"/>
                <w:szCs w:val="16"/>
              </w:rPr>
              <w:footnoteReference w:id="5"/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1E" w14:textId="41776DB0" w:rsidR="002A58DC" w:rsidRPr="00535408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Groundwater</w:t>
            </w:r>
            <w:r>
              <w:rPr>
                <w:rFonts w:cs="Arial"/>
                <w:sz w:val="16"/>
                <w:szCs w:val="16"/>
              </w:rPr>
              <w:br/>
            </w:r>
            <w:r w:rsidRPr="00535408">
              <w:rPr>
                <w:rFonts w:cs="Arial"/>
                <w:sz w:val="16"/>
                <w:szCs w:val="16"/>
              </w:rPr>
              <w:t>(Sub Areas 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35408">
              <w:rPr>
                <w:rFonts w:cs="Arial"/>
                <w:sz w:val="16"/>
                <w:szCs w:val="16"/>
              </w:rPr>
              <w:t xml:space="preserve"> 2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35408">
              <w:rPr>
                <w:rFonts w:cs="Arial"/>
                <w:sz w:val="16"/>
                <w:szCs w:val="16"/>
              </w:rPr>
              <w:t xml:space="preserve"> 3 and 4)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81F" w14:textId="52B7079C" w:rsidR="002A58DC" w:rsidRPr="007C48B8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B48A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20" w14:textId="2129F6C2" w:rsidR="002A58DC" w:rsidRPr="007C48B8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21" w14:textId="3D2EA22A" w:rsidR="002A58DC" w:rsidRPr="007C48B8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9822" w14:textId="77777777" w:rsidR="002A58DC" w:rsidRPr="007D3735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D3735">
              <w:rPr>
                <w:rFonts w:cs="Arial"/>
                <w:sz w:val="16"/>
                <w:szCs w:val="16"/>
              </w:rPr>
              <w:t>No listings</w:t>
            </w:r>
          </w:p>
        </w:tc>
      </w:tr>
      <w:tr w:rsidR="002A58DC" w:rsidRPr="00535408" w14:paraId="0FC2982A" w14:textId="77777777" w:rsidTr="004D3054"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824" w14:textId="6435C4D5" w:rsidR="002A58DC" w:rsidRPr="00535408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Lower Balonne</w:t>
            </w:r>
            <w:r w:rsidR="002B5F4B" w:rsidRPr="00DE4B83">
              <w:rPr>
                <w:rFonts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25" w14:textId="77777777" w:rsidR="002A58DC" w:rsidRPr="00535408" w:rsidRDefault="002A58DC" w:rsidP="002A58DC">
            <w:pPr>
              <w:spacing w:before="40" w:after="40" w:line="240" w:lineRule="auto"/>
              <w:rPr>
                <w:rFonts w:cs="Arial"/>
                <w:sz w:val="16"/>
                <w:szCs w:val="16"/>
              </w:rPr>
            </w:pPr>
            <w:r w:rsidRPr="00535408">
              <w:rPr>
                <w:rFonts w:cs="Arial"/>
                <w:sz w:val="16"/>
                <w:szCs w:val="16"/>
              </w:rPr>
              <w:t>Overland Flow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9826" w14:textId="1C58A3AA" w:rsidR="002A58DC" w:rsidRPr="007C48B8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B48A0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27" w14:textId="72B93625" w:rsidR="002A58DC" w:rsidRPr="007C48B8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828" w14:textId="4B5D55A8" w:rsidR="002A58DC" w:rsidRPr="007C48B8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B16DA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C29829" w14:textId="77777777" w:rsidR="002A58DC" w:rsidRPr="007D3735" w:rsidRDefault="002A58DC" w:rsidP="002A58DC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D3735">
              <w:rPr>
                <w:rFonts w:cs="Arial"/>
                <w:sz w:val="16"/>
                <w:szCs w:val="16"/>
              </w:rPr>
              <w:t>No listings</w:t>
            </w:r>
          </w:p>
        </w:tc>
      </w:tr>
    </w:tbl>
    <w:p w14:paraId="0FC2982B" w14:textId="77777777" w:rsidR="003C74A1" w:rsidRDefault="003C74A1" w:rsidP="006E2906">
      <w:pPr>
        <w:pStyle w:val="MJAnormal"/>
      </w:pPr>
    </w:p>
    <w:p w14:paraId="0FC2982C" w14:textId="3D8D2DF2" w:rsidR="003C74A1" w:rsidRDefault="00F561EE" w:rsidP="00F561EE">
      <w:pPr>
        <w:rPr>
          <w:i/>
          <w:sz w:val="20"/>
        </w:rPr>
      </w:pPr>
      <w:r w:rsidRPr="00F561EE">
        <w:rPr>
          <w:i/>
          <w:sz w:val="20"/>
        </w:rPr>
        <w:t>Note</w:t>
      </w:r>
      <w:r w:rsidR="003C74A1" w:rsidRPr="00F561EE">
        <w:rPr>
          <w:i/>
          <w:sz w:val="20"/>
        </w:rPr>
        <w:t>: Data in this report is collected from p</w:t>
      </w:r>
      <w:r w:rsidR="00725FBD">
        <w:rPr>
          <w:i/>
          <w:sz w:val="20"/>
        </w:rPr>
        <w:t>ublic</w:t>
      </w:r>
      <w:r w:rsidR="003C74A1" w:rsidRPr="00F561EE">
        <w:rPr>
          <w:i/>
          <w:sz w:val="20"/>
        </w:rPr>
        <w:t xml:space="preserve">ly available sources such as water registers and water intermediary website.  The data is indicative only and may be incomplete.  Marsden </w:t>
      </w:r>
      <w:bookmarkStart w:id="1" w:name="_GoBack"/>
      <w:bookmarkEnd w:id="1"/>
      <w:r w:rsidR="003C74A1" w:rsidRPr="00F561EE">
        <w:rPr>
          <w:i/>
          <w:sz w:val="20"/>
        </w:rPr>
        <w:t xml:space="preserve">Jacob Associates accepts no responsibility for the accuracy of the data </w:t>
      </w:r>
      <w:r w:rsidR="00594817">
        <w:rPr>
          <w:i/>
          <w:sz w:val="20"/>
        </w:rPr>
        <w:t>or</w:t>
      </w:r>
      <w:r w:rsidR="003C74A1" w:rsidRPr="00F561EE">
        <w:rPr>
          <w:i/>
          <w:sz w:val="20"/>
        </w:rPr>
        <w:t xml:space="preserve"> for any use of the data.</w:t>
      </w:r>
      <w:bookmarkEnd w:id="0"/>
    </w:p>
    <w:sectPr w:rsidR="003C74A1" w:rsidSect="006E2906">
      <w:headerReference w:type="default" r:id="rId15"/>
      <w:pgSz w:w="16838" w:h="11906" w:orient="landscape"/>
      <w:pgMar w:top="1276" w:right="709" w:bottom="70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0E2DB" w14:textId="77777777" w:rsidR="00993DC0" w:rsidRDefault="00993DC0" w:rsidP="005927B0">
      <w:pPr>
        <w:spacing w:after="0" w:line="240" w:lineRule="auto"/>
      </w:pPr>
      <w:r>
        <w:separator/>
      </w:r>
    </w:p>
  </w:endnote>
  <w:endnote w:type="continuationSeparator" w:id="0">
    <w:p w14:paraId="01307A25" w14:textId="77777777" w:rsidR="00993DC0" w:rsidRDefault="00993DC0" w:rsidP="0059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DA5ED" w14:textId="77777777" w:rsidR="00993DC0" w:rsidRDefault="00993DC0" w:rsidP="005927B0">
      <w:pPr>
        <w:spacing w:after="0" w:line="240" w:lineRule="auto"/>
      </w:pPr>
      <w:r>
        <w:separator/>
      </w:r>
    </w:p>
  </w:footnote>
  <w:footnote w:type="continuationSeparator" w:id="0">
    <w:p w14:paraId="3190DF94" w14:textId="77777777" w:rsidR="00993DC0" w:rsidRDefault="00993DC0" w:rsidP="005927B0">
      <w:pPr>
        <w:spacing w:after="0" w:line="240" w:lineRule="auto"/>
      </w:pPr>
      <w:r>
        <w:continuationSeparator/>
      </w:r>
    </w:p>
  </w:footnote>
  <w:footnote w:id="1">
    <w:p w14:paraId="0FC29834" w14:textId="77777777" w:rsidR="006B029C" w:rsidRPr="00FD5FBE" w:rsidRDefault="006B029C">
      <w:pPr>
        <w:pStyle w:val="FootnoteText"/>
        <w:rPr>
          <w:rFonts w:ascii="Calibri" w:hAnsi="Calibri"/>
          <w:sz w:val="16"/>
        </w:rPr>
      </w:pPr>
      <w:r w:rsidRPr="00FD5FBE">
        <w:rPr>
          <w:rStyle w:val="FootnoteReference"/>
          <w:rFonts w:ascii="Calibri" w:hAnsi="Calibri"/>
        </w:rPr>
        <w:footnoteRef/>
      </w:r>
      <w:r w:rsidRPr="00FD5FBE">
        <w:rPr>
          <w:rFonts w:ascii="Calibri" w:hAnsi="Calibri"/>
        </w:rPr>
        <w:t xml:space="preserve"> </w:t>
      </w:r>
      <w:r w:rsidRPr="00FD5FBE">
        <w:rPr>
          <w:rFonts w:ascii="Calibri" w:hAnsi="Calibri"/>
        </w:rPr>
        <w:tab/>
      </w:r>
      <w:r w:rsidRPr="00FD5FBE">
        <w:rPr>
          <w:rFonts w:ascii="Calibri" w:hAnsi="Calibri"/>
          <w:sz w:val="16"/>
        </w:rPr>
        <w:t xml:space="preserve">Volume Weighted Average Price (VWAP) is calculated as </w:t>
      </w:r>
      <w:r>
        <w:rPr>
          <w:rFonts w:ascii="Calibri" w:hAnsi="Calibri"/>
          <w:sz w:val="16"/>
        </w:rPr>
        <w:t xml:space="preserve">the </w:t>
      </w:r>
      <w:r w:rsidRPr="00FD5FBE">
        <w:rPr>
          <w:rFonts w:ascii="Calibri" w:hAnsi="Calibri"/>
          <w:sz w:val="16"/>
        </w:rPr>
        <w:t>total value traded divided by total volume traded over the quarter.</w:t>
      </w:r>
    </w:p>
  </w:footnote>
  <w:footnote w:id="2">
    <w:p w14:paraId="0FC29835" w14:textId="21299513" w:rsidR="006B029C" w:rsidRPr="00FD5FBE" w:rsidRDefault="006B029C">
      <w:pPr>
        <w:pStyle w:val="FootnoteText"/>
        <w:rPr>
          <w:rFonts w:ascii="Calibri" w:hAnsi="Calibri"/>
          <w:sz w:val="16"/>
        </w:rPr>
      </w:pPr>
      <w:r w:rsidRPr="00FD5FBE">
        <w:rPr>
          <w:rStyle w:val="FootnoteReference"/>
          <w:rFonts w:ascii="Calibri" w:hAnsi="Calibri"/>
        </w:rPr>
        <w:footnoteRef/>
      </w:r>
      <w:r w:rsidRPr="00FD5FBE">
        <w:rPr>
          <w:rFonts w:ascii="Calibri" w:hAnsi="Calibri"/>
        </w:rPr>
        <w:t xml:space="preserve"> </w:t>
      </w:r>
      <w:r w:rsidRPr="00FD5FBE">
        <w:rPr>
          <w:rFonts w:ascii="Calibri" w:hAnsi="Calibri"/>
        </w:rPr>
        <w:tab/>
      </w:r>
      <w:r w:rsidRPr="00FD5FBE">
        <w:rPr>
          <w:rFonts w:ascii="Calibri" w:hAnsi="Calibri"/>
          <w:sz w:val="16"/>
        </w:rPr>
        <w:t xml:space="preserve">Water </w:t>
      </w:r>
      <w:r>
        <w:rPr>
          <w:rFonts w:ascii="Calibri" w:hAnsi="Calibri"/>
          <w:sz w:val="16"/>
        </w:rPr>
        <w:t>Intermediary</w:t>
      </w:r>
      <w:r w:rsidRPr="00FD5FBE">
        <w:rPr>
          <w:rFonts w:ascii="Calibri" w:hAnsi="Calibri"/>
          <w:sz w:val="16"/>
        </w:rPr>
        <w:t xml:space="preserve"> Prices </w:t>
      </w:r>
      <w:r w:rsidR="00133DF5">
        <w:rPr>
          <w:rFonts w:ascii="Calibri" w:hAnsi="Calibri"/>
          <w:sz w:val="16"/>
        </w:rPr>
        <w:t>reflect the range of</w:t>
      </w:r>
      <w:r w:rsidRPr="00FD5FBE">
        <w:rPr>
          <w:rFonts w:ascii="Calibri" w:hAnsi="Calibri"/>
          <w:sz w:val="16"/>
        </w:rPr>
        <w:t xml:space="preserve"> spot prices </w:t>
      </w:r>
      <w:r>
        <w:rPr>
          <w:rFonts w:ascii="Calibri" w:hAnsi="Calibri"/>
          <w:sz w:val="16"/>
        </w:rPr>
        <w:t xml:space="preserve">that were </w:t>
      </w:r>
      <w:r w:rsidRPr="00FD5FBE">
        <w:rPr>
          <w:rFonts w:ascii="Calibri" w:hAnsi="Calibri"/>
          <w:sz w:val="16"/>
        </w:rPr>
        <w:t xml:space="preserve">listed on water intermediary </w:t>
      </w:r>
      <w:r>
        <w:rPr>
          <w:rFonts w:ascii="Calibri" w:hAnsi="Calibri"/>
          <w:sz w:val="16"/>
        </w:rPr>
        <w:t xml:space="preserve">(exchange and broker) </w:t>
      </w:r>
      <w:r w:rsidRPr="00FD5FBE">
        <w:rPr>
          <w:rFonts w:ascii="Calibri" w:hAnsi="Calibri"/>
          <w:sz w:val="16"/>
        </w:rPr>
        <w:t>websites</w:t>
      </w:r>
      <w:r>
        <w:rPr>
          <w:rFonts w:ascii="Calibri" w:hAnsi="Calibri"/>
          <w:sz w:val="16"/>
        </w:rPr>
        <w:t xml:space="preserve"> in </w:t>
      </w:r>
      <w:r w:rsidR="00CF19FC">
        <w:rPr>
          <w:rFonts w:ascii="Calibri" w:hAnsi="Calibri"/>
          <w:sz w:val="16"/>
        </w:rPr>
        <w:t>April</w:t>
      </w:r>
      <w:r w:rsidR="00C825FC">
        <w:rPr>
          <w:rFonts w:ascii="Calibri" w:hAnsi="Calibri"/>
          <w:sz w:val="16"/>
        </w:rPr>
        <w:t xml:space="preserve"> </w:t>
      </w:r>
      <w:r w:rsidR="00EC4BE7">
        <w:rPr>
          <w:rFonts w:ascii="Calibri" w:hAnsi="Calibri"/>
          <w:sz w:val="16"/>
        </w:rPr>
        <w:t>201</w:t>
      </w:r>
      <w:r w:rsidR="00425433">
        <w:rPr>
          <w:rFonts w:ascii="Calibri" w:hAnsi="Calibri"/>
          <w:sz w:val="16"/>
        </w:rPr>
        <w:t>7</w:t>
      </w:r>
      <w:r w:rsidRPr="00FD5FBE">
        <w:rPr>
          <w:rFonts w:ascii="Calibri" w:hAnsi="Calibri"/>
          <w:sz w:val="16"/>
        </w:rPr>
        <w:t>.</w:t>
      </w:r>
    </w:p>
  </w:footnote>
  <w:footnote w:id="3">
    <w:p w14:paraId="4356C844" w14:textId="77777777" w:rsidR="003310BF" w:rsidRPr="00FD5FBE" w:rsidRDefault="003310BF">
      <w:pPr>
        <w:pStyle w:val="FootnoteText"/>
        <w:rPr>
          <w:rFonts w:ascii="Calibri" w:hAnsi="Calibri"/>
          <w:sz w:val="16"/>
        </w:rPr>
      </w:pPr>
      <w:r w:rsidRPr="00FD5FBE">
        <w:rPr>
          <w:rStyle w:val="FootnoteReference"/>
          <w:rFonts w:ascii="Calibri" w:hAnsi="Calibri"/>
        </w:rPr>
        <w:footnoteRef/>
      </w:r>
      <w:r w:rsidRPr="00FD5FBE">
        <w:rPr>
          <w:rFonts w:ascii="Calibri" w:hAnsi="Calibri"/>
        </w:rPr>
        <w:t xml:space="preserve"> </w:t>
      </w:r>
      <w:r w:rsidRPr="00FD5FBE">
        <w:rPr>
          <w:rFonts w:ascii="Calibri" w:hAnsi="Calibri"/>
        </w:rPr>
        <w:tab/>
      </w:r>
      <w:r w:rsidRPr="00FD5FBE">
        <w:rPr>
          <w:rFonts w:ascii="Calibri" w:hAnsi="Calibri"/>
          <w:sz w:val="16"/>
        </w:rPr>
        <w:t xml:space="preserve">Volume Weighted Average Price (VWAP) is calculated as </w:t>
      </w:r>
      <w:r>
        <w:rPr>
          <w:rFonts w:ascii="Calibri" w:hAnsi="Calibri"/>
          <w:sz w:val="16"/>
        </w:rPr>
        <w:t xml:space="preserve">the </w:t>
      </w:r>
      <w:r w:rsidRPr="00FD5FBE">
        <w:rPr>
          <w:rFonts w:ascii="Calibri" w:hAnsi="Calibri"/>
          <w:sz w:val="16"/>
        </w:rPr>
        <w:t>total value traded divided by total volume traded over the quarter.</w:t>
      </w:r>
    </w:p>
  </w:footnote>
  <w:footnote w:id="4">
    <w:p w14:paraId="0FC29837" w14:textId="11BB6A46" w:rsidR="003310BF" w:rsidRPr="00FD5FBE" w:rsidRDefault="003310BF" w:rsidP="004F34AC">
      <w:pPr>
        <w:pStyle w:val="FootnoteText"/>
        <w:rPr>
          <w:rFonts w:ascii="Calibri" w:hAnsi="Calibri"/>
          <w:sz w:val="16"/>
        </w:rPr>
      </w:pPr>
      <w:r w:rsidRPr="00FD5FBE">
        <w:rPr>
          <w:rStyle w:val="FootnoteReference"/>
          <w:rFonts w:ascii="Calibri" w:hAnsi="Calibri"/>
        </w:rPr>
        <w:footnoteRef/>
      </w:r>
      <w:r w:rsidRPr="00FD5FBE">
        <w:rPr>
          <w:rFonts w:ascii="Calibri" w:hAnsi="Calibri"/>
        </w:rPr>
        <w:t xml:space="preserve"> </w:t>
      </w:r>
      <w:r w:rsidRPr="00FD5FBE">
        <w:rPr>
          <w:rFonts w:ascii="Calibri" w:hAnsi="Calibri"/>
        </w:rPr>
        <w:tab/>
      </w:r>
      <w:r w:rsidRPr="00FD5FBE">
        <w:rPr>
          <w:rFonts w:ascii="Calibri" w:hAnsi="Calibri"/>
          <w:sz w:val="16"/>
        </w:rPr>
        <w:t xml:space="preserve">Water </w:t>
      </w:r>
      <w:r>
        <w:rPr>
          <w:rFonts w:ascii="Calibri" w:hAnsi="Calibri"/>
          <w:sz w:val="16"/>
        </w:rPr>
        <w:t>Intermediary</w:t>
      </w:r>
      <w:r w:rsidRPr="00FD5FBE">
        <w:rPr>
          <w:rFonts w:ascii="Calibri" w:hAnsi="Calibri"/>
          <w:sz w:val="16"/>
        </w:rPr>
        <w:t xml:space="preserve"> Prices </w:t>
      </w:r>
      <w:r>
        <w:rPr>
          <w:rFonts w:ascii="Calibri" w:hAnsi="Calibri"/>
          <w:sz w:val="16"/>
        </w:rPr>
        <w:t>reflect the range of</w:t>
      </w:r>
      <w:r w:rsidRPr="00FD5FBE">
        <w:rPr>
          <w:rFonts w:ascii="Calibri" w:hAnsi="Calibri"/>
          <w:sz w:val="16"/>
        </w:rPr>
        <w:t xml:space="preserve"> spot prices </w:t>
      </w:r>
      <w:r>
        <w:rPr>
          <w:rFonts w:ascii="Calibri" w:hAnsi="Calibri"/>
          <w:sz w:val="16"/>
        </w:rPr>
        <w:t xml:space="preserve">that were </w:t>
      </w:r>
      <w:r w:rsidRPr="00FD5FBE">
        <w:rPr>
          <w:rFonts w:ascii="Calibri" w:hAnsi="Calibri"/>
          <w:sz w:val="16"/>
        </w:rPr>
        <w:t xml:space="preserve">listed on water intermediary </w:t>
      </w:r>
      <w:r>
        <w:rPr>
          <w:rFonts w:ascii="Calibri" w:hAnsi="Calibri"/>
          <w:sz w:val="16"/>
        </w:rPr>
        <w:t xml:space="preserve">(exchange and broker) </w:t>
      </w:r>
      <w:r w:rsidRPr="00FD5FBE">
        <w:rPr>
          <w:rFonts w:ascii="Calibri" w:hAnsi="Calibri"/>
          <w:sz w:val="16"/>
        </w:rPr>
        <w:t>websites</w:t>
      </w:r>
      <w:r>
        <w:rPr>
          <w:rFonts w:ascii="Calibri" w:hAnsi="Calibri"/>
          <w:sz w:val="16"/>
        </w:rPr>
        <w:t xml:space="preserve"> in </w:t>
      </w:r>
      <w:r w:rsidR="00CF19FC">
        <w:rPr>
          <w:rFonts w:ascii="Calibri" w:hAnsi="Calibri"/>
          <w:sz w:val="16"/>
        </w:rPr>
        <w:t>April</w:t>
      </w:r>
      <w:r w:rsidR="00C825FC">
        <w:rPr>
          <w:rFonts w:ascii="Calibri" w:hAnsi="Calibri"/>
          <w:sz w:val="16"/>
        </w:rPr>
        <w:t xml:space="preserve"> 2017</w:t>
      </w:r>
      <w:r w:rsidR="00425433" w:rsidRPr="00FD5FBE">
        <w:rPr>
          <w:rFonts w:ascii="Calibri" w:hAnsi="Calibri"/>
          <w:sz w:val="16"/>
        </w:rPr>
        <w:t>.</w:t>
      </w:r>
    </w:p>
  </w:footnote>
  <w:footnote w:id="5">
    <w:p w14:paraId="3E64F390" w14:textId="43945AE9" w:rsidR="002A58DC" w:rsidRPr="00855F9B" w:rsidRDefault="002A58DC" w:rsidP="00855F9B">
      <w:pPr>
        <w:pStyle w:val="FootnoteText"/>
        <w:rPr>
          <w:rFonts w:ascii="Calibri" w:hAnsi="Calibri"/>
          <w:sz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7C48B8">
        <w:rPr>
          <w:rFonts w:ascii="Calibri" w:hAnsi="Calibri"/>
          <w:sz w:val="16"/>
        </w:rPr>
        <w:t xml:space="preserve">Data is only available up to </w:t>
      </w:r>
      <w:r w:rsidR="00CF19FC">
        <w:rPr>
          <w:rFonts w:ascii="Calibri" w:hAnsi="Calibri"/>
          <w:sz w:val="16"/>
        </w:rPr>
        <w:t>March</w:t>
      </w:r>
      <w:r>
        <w:rPr>
          <w:rFonts w:ascii="Calibri" w:hAnsi="Calibri"/>
          <w:sz w:val="16"/>
        </w:rPr>
        <w:t xml:space="preserve"> 201</w:t>
      </w:r>
      <w:r w:rsidR="00EE1223">
        <w:rPr>
          <w:rFonts w:ascii="Calibri" w:hAnsi="Calibri"/>
          <w:sz w:val="16"/>
        </w:rPr>
        <w:t>7</w:t>
      </w:r>
      <w:r w:rsidRPr="007C48B8">
        <w:rPr>
          <w:rFonts w:ascii="Calibri" w:hAnsi="Calibri"/>
          <w:sz w:val="16"/>
        </w:rPr>
        <w:t xml:space="preserve"> on the QLD Government website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9831" w14:textId="77777777" w:rsidR="006B029C" w:rsidRDefault="006B029C" w:rsidP="005927B0">
    <w:pPr>
      <w:pStyle w:val="Header"/>
      <w:jc w:val="right"/>
    </w:pPr>
    <w:r w:rsidRPr="00C96593">
      <w:rPr>
        <w:noProof/>
      </w:rPr>
      <w:drawing>
        <wp:inline distT="0" distB="0" distL="0" distR="0" wp14:anchorId="0FC29832" wp14:editId="0FC29833">
          <wp:extent cx="2903220" cy="312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3690"/>
    <w:multiLevelType w:val="hybridMultilevel"/>
    <w:tmpl w:val="F83A84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345D1"/>
    <w:multiLevelType w:val="singleLevel"/>
    <w:tmpl w:val="3C02756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3D0"/>
      </w:rPr>
    </w:lvl>
  </w:abstractNum>
  <w:abstractNum w:abstractNumId="2" w15:restartNumberingAfterBreak="0">
    <w:nsid w:val="5A635AA6"/>
    <w:multiLevelType w:val="hybridMultilevel"/>
    <w:tmpl w:val="12AA7D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052322"/>
    <w:multiLevelType w:val="hybridMultilevel"/>
    <w:tmpl w:val="0D6A204E"/>
    <w:lvl w:ilvl="0" w:tplc="3C0275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3D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B0"/>
    <w:rsid w:val="00000968"/>
    <w:rsid w:val="00001702"/>
    <w:rsid w:val="00005B99"/>
    <w:rsid w:val="000109F1"/>
    <w:rsid w:val="000129EC"/>
    <w:rsid w:val="000160A5"/>
    <w:rsid w:val="00016B5D"/>
    <w:rsid w:val="00020074"/>
    <w:rsid w:val="00020EDF"/>
    <w:rsid w:val="000237D4"/>
    <w:rsid w:val="000241F3"/>
    <w:rsid w:val="00027CEB"/>
    <w:rsid w:val="00030284"/>
    <w:rsid w:val="000361D5"/>
    <w:rsid w:val="000362FF"/>
    <w:rsid w:val="0003668E"/>
    <w:rsid w:val="0004047B"/>
    <w:rsid w:val="00041B20"/>
    <w:rsid w:val="000447A6"/>
    <w:rsid w:val="000558E0"/>
    <w:rsid w:val="00060166"/>
    <w:rsid w:val="00064490"/>
    <w:rsid w:val="000658B5"/>
    <w:rsid w:val="00066D3B"/>
    <w:rsid w:val="00067324"/>
    <w:rsid w:val="000722A6"/>
    <w:rsid w:val="000756AC"/>
    <w:rsid w:val="000806F0"/>
    <w:rsid w:val="000809E4"/>
    <w:rsid w:val="00082267"/>
    <w:rsid w:val="000853F7"/>
    <w:rsid w:val="0009631B"/>
    <w:rsid w:val="000A5DC2"/>
    <w:rsid w:val="000A6C66"/>
    <w:rsid w:val="000A75B9"/>
    <w:rsid w:val="000B217C"/>
    <w:rsid w:val="000B5474"/>
    <w:rsid w:val="000C18BA"/>
    <w:rsid w:val="000C53FE"/>
    <w:rsid w:val="000D41E8"/>
    <w:rsid w:val="000D43DC"/>
    <w:rsid w:val="000D5153"/>
    <w:rsid w:val="000D6C4A"/>
    <w:rsid w:val="000E0546"/>
    <w:rsid w:val="000E1336"/>
    <w:rsid w:val="000E3A42"/>
    <w:rsid w:val="000E5A40"/>
    <w:rsid w:val="000E6E9D"/>
    <w:rsid w:val="000F370D"/>
    <w:rsid w:val="000F7D57"/>
    <w:rsid w:val="000F7E99"/>
    <w:rsid w:val="0010186C"/>
    <w:rsid w:val="00102A10"/>
    <w:rsid w:val="00102BA8"/>
    <w:rsid w:val="00113E15"/>
    <w:rsid w:val="00113E96"/>
    <w:rsid w:val="00116C73"/>
    <w:rsid w:val="001209D4"/>
    <w:rsid w:val="00125AC1"/>
    <w:rsid w:val="00133DF5"/>
    <w:rsid w:val="001342F1"/>
    <w:rsid w:val="00134966"/>
    <w:rsid w:val="00137216"/>
    <w:rsid w:val="00140161"/>
    <w:rsid w:val="0014767D"/>
    <w:rsid w:val="00150880"/>
    <w:rsid w:val="0015241A"/>
    <w:rsid w:val="00155655"/>
    <w:rsid w:val="00160560"/>
    <w:rsid w:val="00160818"/>
    <w:rsid w:val="001611BD"/>
    <w:rsid w:val="0016209F"/>
    <w:rsid w:val="00164D75"/>
    <w:rsid w:val="001656B3"/>
    <w:rsid w:val="00166085"/>
    <w:rsid w:val="00167E1E"/>
    <w:rsid w:val="00167E94"/>
    <w:rsid w:val="001728DD"/>
    <w:rsid w:val="00174FC1"/>
    <w:rsid w:val="00181456"/>
    <w:rsid w:val="00181649"/>
    <w:rsid w:val="00187B04"/>
    <w:rsid w:val="00187C52"/>
    <w:rsid w:val="00191997"/>
    <w:rsid w:val="00194A7D"/>
    <w:rsid w:val="001A5027"/>
    <w:rsid w:val="001A5161"/>
    <w:rsid w:val="001B4642"/>
    <w:rsid w:val="001B6D0F"/>
    <w:rsid w:val="001C2F1E"/>
    <w:rsid w:val="001C3408"/>
    <w:rsid w:val="001C39C2"/>
    <w:rsid w:val="001D2E3A"/>
    <w:rsid w:val="001D6F2B"/>
    <w:rsid w:val="001D76D4"/>
    <w:rsid w:val="001E04F3"/>
    <w:rsid w:val="001E4981"/>
    <w:rsid w:val="001E728A"/>
    <w:rsid w:val="001F3302"/>
    <w:rsid w:val="001F5774"/>
    <w:rsid w:val="001F63AB"/>
    <w:rsid w:val="001F6EB5"/>
    <w:rsid w:val="00202A02"/>
    <w:rsid w:val="00202C80"/>
    <w:rsid w:val="0020476E"/>
    <w:rsid w:val="002111ED"/>
    <w:rsid w:val="00212881"/>
    <w:rsid w:val="002144AA"/>
    <w:rsid w:val="0021508C"/>
    <w:rsid w:val="002171DD"/>
    <w:rsid w:val="002209C7"/>
    <w:rsid w:val="00221683"/>
    <w:rsid w:val="002225F9"/>
    <w:rsid w:val="00230313"/>
    <w:rsid w:val="0023228B"/>
    <w:rsid w:val="00234858"/>
    <w:rsid w:val="0023653A"/>
    <w:rsid w:val="00243A66"/>
    <w:rsid w:val="002503DA"/>
    <w:rsid w:val="0025513C"/>
    <w:rsid w:val="00255E0B"/>
    <w:rsid w:val="0025702A"/>
    <w:rsid w:val="002635FB"/>
    <w:rsid w:val="002644D8"/>
    <w:rsid w:val="0026552D"/>
    <w:rsid w:val="0026692D"/>
    <w:rsid w:val="0027025B"/>
    <w:rsid w:val="00271E29"/>
    <w:rsid w:val="002721C1"/>
    <w:rsid w:val="00272517"/>
    <w:rsid w:val="002730FC"/>
    <w:rsid w:val="0027409C"/>
    <w:rsid w:val="002757D0"/>
    <w:rsid w:val="00280793"/>
    <w:rsid w:val="00284177"/>
    <w:rsid w:val="00287A2F"/>
    <w:rsid w:val="002955EE"/>
    <w:rsid w:val="00297934"/>
    <w:rsid w:val="002A2157"/>
    <w:rsid w:val="002A32DC"/>
    <w:rsid w:val="002A494B"/>
    <w:rsid w:val="002A58DC"/>
    <w:rsid w:val="002A772F"/>
    <w:rsid w:val="002B0A48"/>
    <w:rsid w:val="002B106C"/>
    <w:rsid w:val="002B35FD"/>
    <w:rsid w:val="002B477E"/>
    <w:rsid w:val="002B5F4B"/>
    <w:rsid w:val="002B73F5"/>
    <w:rsid w:val="002C0B79"/>
    <w:rsid w:val="002C1F87"/>
    <w:rsid w:val="002C2984"/>
    <w:rsid w:val="002C6B71"/>
    <w:rsid w:val="002C7AAD"/>
    <w:rsid w:val="002D44BE"/>
    <w:rsid w:val="002D65A6"/>
    <w:rsid w:val="002D6C34"/>
    <w:rsid w:val="002E4C6C"/>
    <w:rsid w:val="002E4E95"/>
    <w:rsid w:val="002F4FE9"/>
    <w:rsid w:val="003024BC"/>
    <w:rsid w:val="00302F63"/>
    <w:rsid w:val="0030335C"/>
    <w:rsid w:val="0030696A"/>
    <w:rsid w:val="00311EA4"/>
    <w:rsid w:val="00313A02"/>
    <w:rsid w:val="0031438A"/>
    <w:rsid w:val="00320269"/>
    <w:rsid w:val="00324B8B"/>
    <w:rsid w:val="003257C9"/>
    <w:rsid w:val="00330B7A"/>
    <w:rsid w:val="003310BF"/>
    <w:rsid w:val="00331C0F"/>
    <w:rsid w:val="003371E8"/>
    <w:rsid w:val="0034398F"/>
    <w:rsid w:val="0034473D"/>
    <w:rsid w:val="0034531A"/>
    <w:rsid w:val="00347827"/>
    <w:rsid w:val="003506D3"/>
    <w:rsid w:val="00356DDC"/>
    <w:rsid w:val="003670E3"/>
    <w:rsid w:val="003679CE"/>
    <w:rsid w:val="003679E9"/>
    <w:rsid w:val="003701CB"/>
    <w:rsid w:val="003701EA"/>
    <w:rsid w:val="00372DFD"/>
    <w:rsid w:val="003744E8"/>
    <w:rsid w:val="0037672B"/>
    <w:rsid w:val="003806BC"/>
    <w:rsid w:val="00381125"/>
    <w:rsid w:val="0038386B"/>
    <w:rsid w:val="003851DA"/>
    <w:rsid w:val="003929E3"/>
    <w:rsid w:val="00393473"/>
    <w:rsid w:val="00396CD1"/>
    <w:rsid w:val="003974C9"/>
    <w:rsid w:val="003A0109"/>
    <w:rsid w:val="003A047C"/>
    <w:rsid w:val="003A2883"/>
    <w:rsid w:val="003A2C62"/>
    <w:rsid w:val="003A33B4"/>
    <w:rsid w:val="003A62E1"/>
    <w:rsid w:val="003A640B"/>
    <w:rsid w:val="003B16DA"/>
    <w:rsid w:val="003B1FBF"/>
    <w:rsid w:val="003B5A9A"/>
    <w:rsid w:val="003C3B67"/>
    <w:rsid w:val="003C74A1"/>
    <w:rsid w:val="003D2FD1"/>
    <w:rsid w:val="003D3E7C"/>
    <w:rsid w:val="003D616C"/>
    <w:rsid w:val="003D76F2"/>
    <w:rsid w:val="003E46E5"/>
    <w:rsid w:val="003F018A"/>
    <w:rsid w:val="003F2574"/>
    <w:rsid w:val="003F3F26"/>
    <w:rsid w:val="00400E57"/>
    <w:rsid w:val="00401226"/>
    <w:rsid w:val="00401A34"/>
    <w:rsid w:val="00405DEF"/>
    <w:rsid w:val="004128E3"/>
    <w:rsid w:val="00412B80"/>
    <w:rsid w:val="00412D8A"/>
    <w:rsid w:val="00414D87"/>
    <w:rsid w:val="00425433"/>
    <w:rsid w:val="004307BD"/>
    <w:rsid w:val="00430A5B"/>
    <w:rsid w:val="004368F8"/>
    <w:rsid w:val="00442859"/>
    <w:rsid w:val="00443522"/>
    <w:rsid w:val="00453D83"/>
    <w:rsid w:val="00453EE7"/>
    <w:rsid w:val="00454C6A"/>
    <w:rsid w:val="00462B74"/>
    <w:rsid w:val="00462BE2"/>
    <w:rsid w:val="00466C67"/>
    <w:rsid w:val="004709E3"/>
    <w:rsid w:val="00473A56"/>
    <w:rsid w:val="00473A8E"/>
    <w:rsid w:val="00477FE7"/>
    <w:rsid w:val="004806C4"/>
    <w:rsid w:val="004829DE"/>
    <w:rsid w:val="00483530"/>
    <w:rsid w:val="0048363D"/>
    <w:rsid w:val="00484CF8"/>
    <w:rsid w:val="00485796"/>
    <w:rsid w:val="00487A6C"/>
    <w:rsid w:val="00490003"/>
    <w:rsid w:val="004972E0"/>
    <w:rsid w:val="004977AB"/>
    <w:rsid w:val="004A0A59"/>
    <w:rsid w:val="004A351E"/>
    <w:rsid w:val="004A4D8C"/>
    <w:rsid w:val="004A668A"/>
    <w:rsid w:val="004B2477"/>
    <w:rsid w:val="004B4AD6"/>
    <w:rsid w:val="004B6309"/>
    <w:rsid w:val="004C0DEA"/>
    <w:rsid w:val="004C19BF"/>
    <w:rsid w:val="004C34BC"/>
    <w:rsid w:val="004C6B7C"/>
    <w:rsid w:val="004D08A2"/>
    <w:rsid w:val="004D224A"/>
    <w:rsid w:val="004D23E5"/>
    <w:rsid w:val="004D667B"/>
    <w:rsid w:val="004D7FD9"/>
    <w:rsid w:val="004E3086"/>
    <w:rsid w:val="004E3FD4"/>
    <w:rsid w:val="004F15B4"/>
    <w:rsid w:val="004F34AC"/>
    <w:rsid w:val="004F362B"/>
    <w:rsid w:val="004F5F78"/>
    <w:rsid w:val="004F6E4A"/>
    <w:rsid w:val="0050258E"/>
    <w:rsid w:val="00503642"/>
    <w:rsid w:val="00505600"/>
    <w:rsid w:val="005075DA"/>
    <w:rsid w:val="00511418"/>
    <w:rsid w:val="00512356"/>
    <w:rsid w:val="005172B1"/>
    <w:rsid w:val="005177DE"/>
    <w:rsid w:val="00522D29"/>
    <w:rsid w:val="005248A7"/>
    <w:rsid w:val="00530635"/>
    <w:rsid w:val="0053155D"/>
    <w:rsid w:val="005319C2"/>
    <w:rsid w:val="00531BDE"/>
    <w:rsid w:val="00533F89"/>
    <w:rsid w:val="005343F7"/>
    <w:rsid w:val="00535408"/>
    <w:rsid w:val="00535E40"/>
    <w:rsid w:val="00541A16"/>
    <w:rsid w:val="00543961"/>
    <w:rsid w:val="00546C63"/>
    <w:rsid w:val="00550AAA"/>
    <w:rsid w:val="0055236E"/>
    <w:rsid w:val="00552BD0"/>
    <w:rsid w:val="005547FF"/>
    <w:rsid w:val="00561DF6"/>
    <w:rsid w:val="00561E57"/>
    <w:rsid w:val="005638F6"/>
    <w:rsid w:val="00572021"/>
    <w:rsid w:val="00573847"/>
    <w:rsid w:val="00573B8C"/>
    <w:rsid w:val="005776FF"/>
    <w:rsid w:val="00580BB5"/>
    <w:rsid w:val="00582A17"/>
    <w:rsid w:val="00582E7A"/>
    <w:rsid w:val="005837BD"/>
    <w:rsid w:val="00585470"/>
    <w:rsid w:val="00585B37"/>
    <w:rsid w:val="00587E26"/>
    <w:rsid w:val="005927B0"/>
    <w:rsid w:val="00594817"/>
    <w:rsid w:val="005A0C29"/>
    <w:rsid w:val="005A1078"/>
    <w:rsid w:val="005A7566"/>
    <w:rsid w:val="005B0667"/>
    <w:rsid w:val="005B1442"/>
    <w:rsid w:val="005B5F0A"/>
    <w:rsid w:val="005B6A4B"/>
    <w:rsid w:val="005C0430"/>
    <w:rsid w:val="005C133C"/>
    <w:rsid w:val="005C241E"/>
    <w:rsid w:val="005C55F3"/>
    <w:rsid w:val="005C5FE1"/>
    <w:rsid w:val="005C652E"/>
    <w:rsid w:val="005C7062"/>
    <w:rsid w:val="005D0CB6"/>
    <w:rsid w:val="005D3465"/>
    <w:rsid w:val="005D4899"/>
    <w:rsid w:val="005E0403"/>
    <w:rsid w:val="005E1AA2"/>
    <w:rsid w:val="005E7D98"/>
    <w:rsid w:val="005F02E3"/>
    <w:rsid w:val="005F0DFD"/>
    <w:rsid w:val="005F517B"/>
    <w:rsid w:val="00600B61"/>
    <w:rsid w:val="00600D90"/>
    <w:rsid w:val="0060214C"/>
    <w:rsid w:val="00604FE9"/>
    <w:rsid w:val="0060576B"/>
    <w:rsid w:val="006062D4"/>
    <w:rsid w:val="00607C81"/>
    <w:rsid w:val="00611800"/>
    <w:rsid w:val="00615C50"/>
    <w:rsid w:val="006248C7"/>
    <w:rsid w:val="00626851"/>
    <w:rsid w:val="00630AFD"/>
    <w:rsid w:val="00633FF2"/>
    <w:rsid w:val="006354DA"/>
    <w:rsid w:val="00640365"/>
    <w:rsid w:val="006423B7"/>
    <w:rsid w:val="00647CF5"/>
    <w:rsid w:val="006505C3"/>
    <w:rsid w:val="00650DA9"/>
    <w:rsid w:val="00650F75"/>
    <w:rsid w:val="00651888"/>
    <w:rsid w:val="0065292B"/>
    <w:rsid w:val="00654E29"/>
    <w:rsid w:val="006567DC"/>
    <w:rsid w:val="00662E27"/>
    <w:rsid w:val="0067134F"/>
    <w:rsid w:val="006750D1"/>
    <w:rsid w:val="006765D1"/>
    <w:rsid w:val="006810DA"/>
    <w:rsid w:val="00681EEC"/>
    <w:rsid w:val="00682FE2"/>
    <w:rsid w:val="006830C8"/>
    <w:rsid w:val="00683AF9"/>
    <w:rsid w:val="0068405B"/>
    <w:rsid w:val="006843CC"/>
    <w:rsid w:val="0068664A"/>
    <w:rsid w:val="0068757E"/>
    <w:rsid w:val="006944D2"/>
    <w:rsid w:val="006945F2"/>
    <w:rsid w:val="00697A29"/>
    <w:rsid w:val="006A3CE6"/>
    <w:rsid w:val="006A530D"/>
    <w:rsid w:val="006A65FC"/>
    <w:rsid w:val="006B029C"/>
    <w:rsid w:val="006B2626"/>
    <w:rsid w:val="006B402D"/>
    <w:rsid w:val="006B4113"/>
    <w:rsid w:val="006C1392"/>
    <w:rsid w:val="006C1D0A"/>
    <w:rsid w:val="006C4587"/>
    <w:rsid w:val="006D0E6C"/>
    <w:rsid w:val="006D4283"/>
    <w:rsid w:val="006E0333"/>
    <w:rsid w:val="006E0AD9"/>
    <w:rsid w:val="006E21CE"/>
    <w:rsid w:val="006E275C"/>
    <w:rsid w:val="006E2906"/>
    <w:rsid w:val="006E5681"/>
    <w:rsid w:val="006E5E5F"/>
    <w:rsid w:val="006E615B"/>
    <w:rsid w:val="006F1D16"/>
    <w:rsid w:val="006F23B0"/>
    <w:rsid w:val="006F240C"/>
    <w:rsid w:val="006F5FCD"/>
    <w:rsid w:val="00703AD4"/>
    <w:rsid w:val="00704912"/>
    <w:rsid w:val="00704E58"/>
    <w:rsid w:val="007056D0"/>
    <w:rsid w:val="00705A18"/>
    <w:rsid w:val="00706ADD"/>
    <w:rsid w:val="00720AE9"/>
    <w:rsid w:val="007240EF"/>
    <w:rsid w:val="00725FBD"/>
    <w:rsid w:val="00727334"/>
    <w:rsid w:val="007278A8"/>
    <w:rsid w:val="007302DF"/>
    <w:rsid w:val="00731E19"/>
    <w:rsid w:val="007327DC"/>
    <w:rsid w:val="00737B92"/>
    <w:rsid w:val="00740739"/>
    <w:rsid w:val="00741437"/>
    <w:rsid w:val="00750436"/>
    <w:rsid w:val="00750478"/>
    <w:rsid w:val="007517AE"/>
    <w:rsid w:val="007603F9"/>
    <w:rsid w:val="007608D1"/>
    <w:rsid w:val="0076376B"/>
    <w:rsid w:val="00765975"/>
    <w:rsid w:val="00770A20"/>
    <w:rsid w:val="00772DA9"/>
    <w:rsid w:val="007754CD"/>
    <w:rsid w:val="00784111"/>
    <w:rsid w:val="0079000A"/>
    <w:rsid w:val="00791BF7"/>
    <w:rsid w:val="0079289C"/>
    <w:rsid w:val="00793094"/>
    <w:rsid w:val="00794C1F"/>
    <w:rsid w:val="007A51AB"/>
    <w:rsid w:val="007A5382"/>
    <w:rsid w:val="007A7C5F"/>
    <w:rsid w:val="007B091D"/>
    <w:rsid w:val="007B346E"/>
    <w:rsid w:val="007B5318"/>
    <w:rsid w:val="007B7316"/>
    <w:rsid w:val="007B74AE"/>
    <w:rsid w:val="007B7D19"/>
    <w:rsid w:val="007C273D"/>
    <w:rsid w:val="007C2D18"/>
    <w:rsid w:val="007C48B8"/>
    <w:rsid w:val="007C6AFF"/>
    <w:rsid w:val="007D05C3"/>
    <w:rsid w:val="007D2403"/>
    <w:rsid w:val="007D2F57"/>
    <w:rsid w:val="007D3735"/>
    <w:rsid w:val="007D476D"/>
    <w:rsid w:val="007E0D61"/>
    <w:rsid w:val="007E2276"/>
    <w:rsid w:val="007E2C01"/>
    <w:rsid w:val="007E2F0F"/>
    <w:rsid w:val="007E408C"/>
    <w:rsid w:val="007E5B3A"/>
    <w:rsid w:val="007E6630"/>
    <w:rsid w:val="007E6A72"/>
    <w:rsid w:val="007F028E"/>
    <w:rsid w:val="007F16F0"/>
    <w:rsid w:val="007F1A2A"/>
    <w:rsid w:val="007F4DCA"/>
    <w:rsid w:val="008024AB"/>
    <w:rsid w:val="008033A5"/>
    <w:rsid w:val="008051F3"/>
    <w:rsid w:val="008053E4"/>
    <w:rsid w:val="008060B9"/>
    <w:rsid w:val="0081056D"/>
    <w:rsid w:val="00812B95"/>
    <w:rsid w:val="008140F0"/>
    <w:rsid w:val="00816EB0"/>
    <w:rsid w:val="00817939"/>
    <w:rsid w:val="0082247B"/>
    <w:rsid w:val="00827936"/>
    <w:rsid w:val="008345DE"/>
    <w:rsid w:val="008360F8"/>
    <w:rsid w:val="00837345"/>
    <w:rsid w:val="00837963"/>
    <w:rsid w:val="00840E5F"/>
    <w:rsid w:val="0084339D"/>
    <w:rsid w:val="00843540"/>
    <w:rsid w:val="0084501E"/>
    <w:rsid w:val="00851C0B"/>
    <w:rsid w:val="008529B0"/>
    <w:rsid w:val="00854338"/>
    <w:rsid w:val="00855F9B"/>
    <w:rsid w:val="00860D21"/>
    <w:rsid w:val="008654E7"/>
    <w:rsid w:val="00865D0E"/>
    <w:rsid w:val="008726BA"/>
    <w:rsid w:val="008739EA"/>
    <w:rsid w:val="008745B5"/>
    <w:rsid w:val="00874D76"/>
    <w:rsid w:val="00881ECB"/>
    <w:rsid w:val="008825EE"/>
    <w:rsid w:val="00882D17"/>
    <w:rsid w:val="00883048"/>
    <w:rsid w:val="00885F00"/>
    <w:rsid w:val="008869AA"/>
    <w:rsid w:val="00887873"/>
    <w:rsid w:val="00893EA8"/>
    <w:rsid w:val="008943FE"/>
    <w:rsid w:val="008960DF"/>
    <w:rsid w:val="008978F1"/>
    <w:rsid w:val="008A083B"/>
    <w:rsid w:val="008A3202"/>
    <w:rsid w:val="008B2380"/>
    <w:rsid w:val="008B3B01"/>
    <w:rsid w:val="008B43CA"/>
    <w:rsid w:val="008B7B5A"/>
    <w:rsid w:val="008C02EE"/>
    <w:rsid w:val="008C1CA8"/>
    <w:rsid w:val="008C2C2E"/>
    <w:rsid w:val="008D12B2"/>
    <w:rsid w:val="008D14E3"/>
    <w:rsid w:val="008D259B"/>
    <w:rsid w:val="008D2D7F"/>
    <w:rsid w:val="008D67D1"/>
    <w:rsid w:val="008D69FF"/>
    <w:rsid w:val="008E0742"/>
    <w:rsid w:val="008E126E"/>
    <w:rsid w:val="008E2FE9"/>
    <w:rsid w:val="008F093D"/>
    <w:rsid w:val="008F09A7"/>
    <w:rsid w:val="008F1602"/>
    <w:rsid w:val="008F4576"/>
    <w:rsid w:val="008F74D9"/>
    <w:rsid w:val="00900132"/>
    <w:rsid w:val="0090015F"/>
    <w:rsid w:val="00901E26"/>
    <w:rsid w:val="009026F2"/>
    <w:rsid w:val="00902E7C"/>
    <w:rsid w:val="00903D3D"/>
    <w:rsid w:val="00904338"/>
    <w:rsid w:val="00905598"/>
    <w:rsid w:val="009118E7"/>
    <w:rsid w:val="00914BAC"/>
    <w:rsid w:val="00920BBE"/>
    <w:rsid w:val="00920CBA"/>
    <w:rsid w:val="009254D2"/>
    <w:rsid w:val="009255F9"/>
    <w:rsid w:val="00930C5C"/>
    <w:rsid w:val="00933C66"/>
    <w:rsid w:val="00934D37"/>
    <w:rsid w:val="00934E15"/>
    <w:rsid w:val="009360F9"/>
    <w:rsid w:val="00941F1A"/>
    <w:rsid w:val="00942B24"/>
    <w:rsid w:val="00944987"/>
    <w:rsid w:val="00946AC5"/>
    <w:rsid w:val="009471F5"/>
    <w:rsid w:val="00952058"/>
    <w:rsid w:val="0095599C"/>
    <w:rsid w:val="0096016E"/>
    <w:rsid w:val="00962283"/>
    <w:rsid w:val="0096611A"/>
    <w:rsid w:val="00966595"/>
    <w:rsid w:val="0096753F"/>
    <w:rsid w:val="0097290B"/>
    <w:rsid w:val="00980060"/>
    <w:rsid w:val="00980141"/>
    <w:rsid w:val="009814AB"/>
    <w:rsid w:val="00982B77"/>
    <w:rsid w:val="00985577"/>
    <w:rsid w:val="009855DD"/>
    <w:rsid w:val="00992713"/>
    <w:rsid w:val="0099324B"/>
    <w:rsid w:val="00993DC0"/>
    <w:rsid w:val="00995ABB"/>
    <w:rsid w:val="009970AE"/>
    <w:rsid w:val="009A10C5"/>
    <w:rsid w:val="009A47B8"/>
    <w:rsid w:val="009B2DFD"/>
    <w:rsid w:val="009B4989"/>
    <w:rsid w:val="009B55E0"/>
    <w:rsid w:val="009C0035"/>
    <w:rsid w:val="009C02AE"/>
    <w:rsid w:val="009C0E4D"/>
    <w:rsid w:val="009C20F1"/>
    <w:rsid w:val="009C4216"/>
    <w:rsid w:val="009C5ECF"/>
    <w:rsid w:val="009D19EB"/>
    <w:rsid w:val="009D27E3"/>
    <w:rsid w:val="009D374B"/>
    <w:rsid w:val="009D3DB4"/>
    <w:rsid w:val="009D5360"/>
    <w:rsid w:val="009E1210"/>
    <w:rsid w:val="009E77D2"/>
    <w:rsid w:val="009F5AB4"/>
    <w:rsid w:val="009F61B9"/>
    <w:rsid w:val="00A00EFD"/>
    <w:rsid w:val="00A01C1C"/>
    <w:rsid w:val="00A023E7"/>
    <w:rsid w:val="00A04119"/>
    <w:rsid w:val="00A049E9"/>
    <w:rsid w:val="00A0551B"/>
    <w:rsid w:val="00A10F46"/>
    <w:rsid w:val="00A11284"/>
    <w:rsid w:val="00A11EB9"/>
    <w:rsid w:val="00A12C73"/>
    <w:rsid w:val="00A12CB0"/>
    <w:rsid w:val="00A13DA4"/>
    <w:rsid w:val="00A15230"/>
    <w:rsid w:val="00A22932"/>
    <w:rsid w:val="00A26429"/>
    <w:rsid w:val="00A3362D"/>
    <w:rsid w:val="00A4021C"/>
    <w:rsid w:val="00A41270"/>
    <w:rsid w:val="00A455E4"/>
    <w:rsid w:val="00A45783"/>
    <w:rsid w:val="00A54B3A"/>
    <w:rsid w:val="00A55227"/>
    <w:rsid w:val="00A55256"/>
    <w:rsid w:val="00A55C1B"/>
    <w:rsid w:val="00A57720"/>
    <w:rsid w:val="00A61157"/>
    <w:rsid w:val="00A61435"/>
    <w:rsid w:val="00A64FB4"/>
    <w:rsid w:val="00A6520D"/>
    <w:rsid w:val="00A71E2A"/>
    <w:rsid w:val="00A73BCC"/>
    <w:rsid w:val="00A749FE"/>
    <w:rsid w:val="00A828F7"/>
    <w:rsid w:val="00A85516"/>
    <w:rsid w:val="00A868E9"/>
    <w:rsid w:val="00A86BB2"/>
    <w:rsid w:val="00A86D57"/>
    <w:rsid w:val="00A92780"/>
    <w:rsid w:val="00A93BE5"/>
    <w:rsid w:val="00A95F5A"/>
    <w:rsid w:val="00A96895"/>
    <w:rsid w:val="00AA2BCE"/>
    <w:rsid w:val="00AA31EF"/>
    <w:rsid w:val="00AA4F2E"/>
    <w:rsid w:val="00AB3390"/>
    <w:rsid w:val="00AB720E"/>
    <w:rsid w:val="00AB7BC4"/>
    <w:rsid w:val="00AC16F3"/>
    <w:rsid w:val="00AC1858"/>
    <w:rsid w:val="00AC2AEE"/>
    <w:rsid w:val="00AC4F17"/>
    <w:rsid w:val="00AC52F3"/>
    <w:rsid w:val="00AD1F2D"/>
    <w:rsid w:val="00AD32B7"/>
    <w:rsid w:val="00AD32DE"/>
    <w:rsid w:val="00AD52A7"/>
    <w:rsid w:val="00AE7A3A"/>
    <w:rsid w:val="00AF058D"/>
    <w:rsid w:val="00AF0F44"/>
    <w:rsid w:val="00AF2628"/>
    <w:rsid w:val="00AF3A31"/>
    <w:rsid w:val="00AF418B"/>
    <w:rsid w:val="00B01EAE"/>
    <w:rsid w:val="00B0789A"/>
    <w:rsid w:val="00B137E1"/>
    <w:rsid w:val="00B1556D"/>
    <w:rsid w:val="00B23362"/>
    <w:rsid w:val="00B24B7F"/>
    <w:rsid w:val="00B315C2"/>
    <w:rsid w:val="00B3668D"/>
    <w:rsid w:val="00B50EFF"/>
    <w:rsid w:val="00B52E85"/>
    <w:rsid w:val="00B52EF6"/>
    <w:rsid w:val="00B550EA"/>
    <w:rsid w:val="00B5544E"/>
    <w:rsid w:val="00B56BC1"/>
    <w:rsid w:val="00B6266B"/>
    <w:rsid w:val="00B62E46"/>
    <w:rsid w:val="00B6387F"/>
    <w:rsid w:val="00B66F5B"/>
    <w:rsid w:val="00B675CB"/>
    <w:rsid w:val="00B679B6"/>
    <w:rsid w:val="00B67B6C"/>
    <w:rsid w:val="00B70961"/>
    <w:rsid w:val="00B70DFA"/>
    <w:rsid w:val="00B733AF"/>
    <w:rsid w:val="00B82981"/>
    <w:rsid w:val="00B82E46"/>
    <w:rsid w:val="00B83EEF"/>
    <w:rsid w:val="00B84C4B"/>
    <w:rsid w:val="00B857D7"/>
    <w:rsid w:val="00B87E02"/>
    <w:rsid w:val="00B93558"/>
    <w:rsid w:val="00B942DA"/>
    <w:rsid w:val="00B96553"/>
    <w:rsid w:val="00B9733D"/>
    <w:rsid w:val="00BA1F29"/>
    <w:rsid w:val="00BA430E"/>
    <w:rsid w:val="00BA65FB"/>
    <w:rsid w:val="00BB04CC"/>
    <w:rsid w:val="00BB0867"/>
    <w:rsid w:val="00BB2BB8"/>
    <w:rsid w:val="00BB33AA"/>
    <w:rsid w:val="00BB4370"/>
    <w:rsid w:val="00BB6449"/>
    <w:rsid w:val="00BB7E47"/>
    <w:rsid w:val="00BC0234"/>
    <w:rsid w:val="00BC175E"/>
    <w:rsid w:val="00BC1DFC"/>
    <w:rsid w:val="00BC226B"/>
    <w:rsid w:val="00BC6FAD"/>
    <w:rsid w:val="00BD2895"/>
    <w:rsid w:val="00BE04D4"/>
    <w:rsid w:val="00BE3D3F"/>
    <w:rsid w:val="00BE4E7C"/>
    <w:rsid w:val="00BF0F83"/>
    <w:rsid w:val="00BF2C4A"/>
    <w:rsid w:val="00BF3127"/>
    <w:rsid w:val="00BF657E"/>
    <w:rsid w:val="00BF7A4F"/>
    <w:rsid w:val="00C0577D"/>
    <w:rsid w:val="00C10865"/>
    <w:rsid w:val="00C1494B"/>
    <w:rsid w:val="00C16A67"/>
    <w:rsid w:val="00C17777"/>
    <w:rsid w:val="00C17CCD"/>
    <w:rsid w:val="00C21A15"/>
    <w:rsid w:val="00C24CFF"/>
    <w:rsid w:val="00C250C6"/>
    <w:rsid w:val="00C252F5"/>
    <w:rsid w:val="00C258E1"/>
    <w:rsid w:val="00C30F9D"/>
    <w:rsid w:val="00C36025"/>
    <w:rsid w:val="00C424CD"/>
    <w:rsid w:val="00C4378B"/>
    <w:rsid w:val="00C50B31"/>
    <w:rsid w:val="00C520A3"/>
    <w:rsid w:val="00C560A5"/>
    <w:rsid w:val="00C56102"/>
    <w:rsid w:val="00C61351"/>
    <w:rsid w:val="00C614EC"/>
    <w:rsid w:val="00C62548"/>
    <w:rsid w:val="00C645AD"/>
    <w:rsid w:val="00C651A3"/>
    <w:rsid w:val="00C773D2"/>
    <w:rsid w:val="00C825FC"/>
    <w:rsid w:val="00C8330D"/>
    <w:rsid w:val="00C853C3"/>
    <w:rsid w:val="00C873E1"/>
    <w:rsid w:val="00C9433C"/>
    <w:rsid w:val="00CA043F"/>
    <w:rsid w:val="00CA2A7A"/>
    <w:rsid w:val="00CA2FCF"/>
    <w:rsid w:val="00CA607D"/>
    <w:rsid w:val="00CA6879"/>
    <w:rsid w:val="00CA79B9"/>
    <w:rsid w:val="00CB1B93"/>
    <w:rsid w:val="00CC083A"/>
    <w:rsid w:val="00CC208D"/>
    <w:rsid w:val="00CC2FF2"/>
    <w:rsid w:val="00CC44EE"/>
    <w:rsid w:val="00CC63B0"/>
    <w:rsid w:val="00CC6769"/>
    <w:rsid w:val="00CC676F"/>
    <w:rsid w:val="00CD1989"/>
    <w:rsid w:val="00CD355E"/>
    <w:rsid w:val="00CD5CEC"/>
    <w:rsid w:val="00CD5DAF"/>
    <w:rsid w:val="00CD729B"/>
    <w:rsid w:val="00CE5EA1"/>
    <w:rsid w:val="00CF07A9"/>
    <w:rsid w:val="00CF0FB0"/>
    <w:rsid w:val="00CF19FC"/>
    <w:rsid w:val="00CF58DA"/>
    <w:rsid w:val="00D01469"/>
    <w:rsid w:val="00D05FF3"/>
    <w:rsid w:val="00D10D7C"/>
    <w:rsid w:val="00D131C9"/>
    <w:rsid w:val="00D13ED4"/>
    <w:rsid w:val="00D14F12"/>
    <w:rsid w:val="00D15233"/>
    <w:rsid w:val="00D20AAA"/>
    <w:rsid w:val="00D20F3C"/>
    <w:rsid w:val="00D212DF"/>
    <w:rsid w:val="00D234D2"/>
    <w:rsid w:val="00D26479"/>
    <w:rsid w:val="00D32029"/>
    <w:rsid w:val="00D37B65"/>
    <w:rsid w:val="00D4308F"/>
    <w:rsid w:val="00D44C8E"/>
    <w:rsid w:val="00D4678A"/>
    <w:rsid w:val="00D518D9"/>
    <w:rsid w:val="00D51D18"/>
    <w:rsid w:val="00D52313"/>
    <w:rsid w:val="00D52510"/>
    <w:rsid w:val="00D52699"/>
    <w:rsid w:val="00D56314"/>
    <w:rsid w:val="00D60704"/>
    <w:rsid w:val="00D628BB"/>
    <w:rsid w:val="00D628C9"/>
    <w:rsid w:val="00D62CA3"/>
    <w:rsid w:val="00D63A78"/>
    <w:rsid w:val="00D64026"/>
    <w:rsid w:val="00D64907"/>
    <w:rsid w:val="00D65A06"/>
    <w:rsid w:val="00D708EF"/>
    <w:rsid w:val="00D71D0D"/>
    <w:rsid w:val="00D74703"/>
    <w:rsid w:val="00D807DD"/>
    <w:rsid w:val="00D81238"/>
    <w:rsid w:val="00D828AF"/>
    <w:rsid w:val="00D82B20"/>
    <w:rsid w:val="00D8766E"/>
    <w:rsid w:val="00D9054A"/>
    <w:rsid w:val="00D92FA2"/>
    <w:rsid w:val="00D93C96"/>
    <w:rsid w:val="00D95F36"/>
    <w:rsid w:val="00D96CD1"/>
    <w:rsid w:val="00D9778E"/>
    <w:rsid w:val="00DA55EC"/>
    <w:rsid w:val="00DB346F"/>
    <w:rsid w:val="00DC1BE5"/>
    <w:rsid w:val="00DC7322"/>
    <w:rsid w:val="00DC7D0F"/>
    <w:rsid w:val="00DD06EB"/>
    <w:rsid w:val="00DD1963"/>
    <w:rsid w:val="00DD35AD"/>
    <w:rsid w:val="00DD3BC8"/>
    <w:rsid w:val="00DD40B9"/>
    <w:rsid w:val="00DD4DCB"/>
    <w:rsid w:val="00DD7556"/>
    <w:rsid w:val="00DE2BD6"/>
    <w:rsid w:val="00DE50CB"/>
    <w:rsid w:val="00DE6EC5"/>
    <w:rsid w:val="00DF2B9D"/>
    <w:rsid w:val="00DF4766"/>
    <w:rsid w:val="00E003C2"/>
    <w:rsid w:val="00E00F56"/>
    <w:rsid w:val="00E02BEB"/>
    <w:rsid w:val="00E0453E"/>
    <w:rsid w:val="00E04BDA"/>
    <w:rsid w:val="00E051E5"/>
    <w:rsid w:val="00E070BB"/>
    <w:rsid w:val="00E15123"/>
    <w:rsid w:val="00E16977"/>
    <w:rsid w:val="00E20BC1"/>
    <w:rsid w:val="00E237B7"/>
    <w:rsid w:val="00E23E57"/>
    <w:rsid w:val="00E23F97"/>
    <w:rsid w:val="00E24946"/>
    <w:rsid w:val="00E2658E"/>
    <w:rsid w:val="00E32607"/>
    <w:rsid w:val="00E347CC"/>
    <w:rsid w:val="00E35A1E"/>
    <w:rsid w:val="00E35A35"/>
    <w:rsid w:val="00E3673E"/>
    <w:rsid w:val="00E46F6B"/>
    <w:rsid w:val="00E51293"/>
    <w:rsid w:val="00E53230"/>
    <w:rsid w:val="00E56C73"/>
    <w:rsid w:val="00E57A79"/>
    <w:rsid w:val="00E62031"/>
    <w:rsid w:val="00E62110"/>
    <w:rsid w:val="00E66D01"/>
    <w:rsid w:val="00E66E12"/>
    <w:rsid w:val="00E677EC"/>
    <w:rsid w:val="00E717A4"/>
    <w:rsid w:val="00E7449B"/>
    <w:rsid w:val="00E8188A"/>
    <w:rsid w:val="00E825C6"/>
    <w:rsid w:val="00E82C5B"/>
    <w:rsid w:val="00E8513E"/>
    <w:rsid w:val="00E85FEE"/>
    <w:rsid w:val="00E918E0"/>
    <w:rsid w:val="00E92BDB"/>
    <w:rsid w:val="00E9785F"/>
    <w:rsid w:val="00EA6690"/>
    <w:rsid w:val="00EB4514"/>
    <w:rsid w:val="00EB589F"/>
    <w:rsid w:val="00EC2B1C"/>
    <w:rsid w:val="00EC348B"/>
    <w:rsid w:val="00EC49F8"/>
    <w:rsid w:val="00EC4BE7"/>
    <w:rsid w:val="00ED0656"/>
    <w:rsid w:val="00ED2743"/>
    <w:rsid w:val="00ED3686"/>
    <w:rsid w:val="00ED5604"/>
    <w:rsid w:val="00ED6810"/>
    <w:rsid w:val="00ED77B4"/>
    <w:rsid w:val="00EE1223"/>
    <w:rsid w:val="00EE7F0A"/>
    <w:rsid w:val="00F01930"/>
    <w:rsid w:val="00F03CBF"/>
    <w:rsid w:val="00F04852"/>
    <w:rsid w:val="00F058F7"/>
    <w:rsid w:val="00F13254"/>
    <w:rsid w:val="00F209A6"/>
    <w:rsid w:val="00F22811"/>
    <w:rsid w:val="00F22CCF"/>
    <w:rsid w:val="00F23614"/>
    <w:rsid w:val="00F31986"/>
    <w:rsid w:val="00F324B4"/>
    <w:rsid w:val="00F3479E"/>
    <w:rsid w:val="00F34FB9"/>
    <w:rsid w:val="00F35942"/>
    <w:rsid w:val="00F36928"/>
    <w:rsid w:val="00F36981"/>
    <w:rsid w:val="00F37C0B"/>
    <w:rsid w:val="00F4212E"/>
    <w:rsid w:val="00F50777"/>
    <w:rsid w:val="00F51DA1"/>
    <w:rsid w:val="00F526F7"/>
    <w:rsid w:val="00F549FA"/>
    <w:rsid w:val="00F557F9"/>
    <w:rsid w:val="00F561EE"/>
    <w:rsid w:val="00F570C8"/>
    <w:rsid w:val="00F605AC"/>
    <w:rsid w:val="00F61353"/>
    <w:rsid w:val="00F638DA"/>
    <w:rsid w:val="00F64904"/>
    <w:rsid w:val="00F65845"/>
    <w:rsid w:val="00F65C9E"/>
    <w:rsid w:val="00F66EE7"/>
    <w:rsid w:val="00F677E3"/>
    <w:rsid w:val="00F776E6"/>
    <w:rsid w:val="00F82E12"/>
    <w:rsid w:val="00F87819"/>
    <w:rsid w:val="00F907D8"/>
    <w:rsid w:val="00F91D1C"/>
    <w:rsid w:val="00F935EE"/>
    <w:rsid w:val="00F94614"/>
    <w:rsid w:val="00F954AF"/>
    <w:rsid w:val="00FA3E54"/>
    <w:rsid w:val="00FA4AC1"/>
    <w:rsid w:val="00FB152F"/>
    <w:rsid w:val="00FB2388"/>
    <w:rsid w:val="00FB43A8"/>
    <w:rsid w:val="00FB6D7C"/>
    <w:rsid w:val="00FB7B6A"/>
    <w:rsid w:val="00FB7D4F"/>
    <w:rsid w:val="00FC1B35"/>
    <w:rsid w:val="00FC3392"/>
    <w:rsid w:val="00FC34F3"/>
    <w:rsid w:val="00FC4E4B"/>
    <w:rsid w:val="00FC4FB5"/>
    <w:rsid w:val="00FC5156"/>
    <w:rsid w:val="00FC72EE"/>
    <w:rsid w:val="00FD3655"/>
    <w:rsid w:val="00FD463A"/>
    <w:rsid w:val="00FD5FBE"/>
    <w:rsid w:val="00FD63D3"/>
    <w:rsid w:val="00FE0429"/>
    <w:rsid w:val="00FE1D23"/>
    <w:rsid w:val="00FE23EF"/>
    <w:rsid w:val="00FE6308"/>
    <w:rsid w:val="00FE6B42"/>
    <w:rsid w:val="00FE7E91"/>
    <w:rsid w:val="00FF10AB"/>
    <w:rsid w:val="00FF2212"/>
    <w:rsid w:val="00FF4C94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973F"/>
  <w15:docId w15:val="{1DDA69E7-4D97-4D0A-AFDD-EF44FE36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B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5927B0"/>
    <w:pPr>
      <w:tabs>
        <w:tab w:val="left" w:pos="397"/>
      </w:tabs>
      <w:spacing w:after="120" w:line="240" w:lineRule="auto"/>
      <w:ind w:left="397" w:hanging="397"/>
      <w:jc w:val="both"/>
    </w:pPr>
    <w:rPr>
      <w:rFonts w:ascii="Times New Roman" w:hAnsi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5927B0"/>
    <w:rPr>
      <w:rFonts w:ascii="Times New Roman" w:eastAsia="Times New Roman" w:hAnsi="Times New Roman" w:cs="Times New Roman"/>
      <w:sz w:val="18"/>
      <w:szCs w:val="18"/>
      <w:lang w:eastAsia="en-AU"/>
    </w:rPr>
  </w:style>
  <w:style w:type="paragraph" w:customStyle="1" w:styleId="MJAnormal">
    <w:name w:val="MJA normal"/>
    <w:basedOn w:val="Normal"/>
    <w:link w:val="MJAnormalChar1"/>
    <w:qFormat/>
    <w:rsid w:val="005927B0"/>
    <w:pPr>
      <w:spacing w:before="120" w:after="120" w:line="280" w:lineRule="atLeast"/>
    </w:pPr>
    <w:rPr>
      <w:rFonts w:ascii="Times New Roman" w:hAnsi="Times New Roman"/>
    </w:rPr>
  </w:style>
  <w:style w:type="paragraph" w:customStyle="1" w:styleId="MJAheading2">
    <w:name w:val="MJA heading 2"/>
    <w:basedOn w:val="Normal"/>
    <w:next w:val="MJAnormal"/>
    <w:autoRedefine/>
    <w:qFormat/>
    <w:rsid w:val="00320269"/>
    <w:pPr>
      <w:keepNext/>
      <w:keepLines/>
      <w:tabs>
        <w:tab w:val="left" w:pos="709"/>
      </w:tabs>
      <w:spacing w:before="120" w:after="0" w:line="240" w:lineRule="auto"/>
      <w:jc w:val="center"/>
      <w:outlineLvl w:val="1"/>
    </w:pPr>
    <w:rPr>
      <w:rFonts w:ascii="Corbel" w:hAnsi="Corbel"/>
      <w:color w:val="0093D0"/>
      <w:sz w:val="32"/>
      <w:u w:val="single"/>
    </w:rPr>
  </w:style>
  <w:style w:type="paragraph" w:customStyle="1" w:styleId="MJAheading4">
    <w:name w:val="MJA heading 4"/>
    <w:basedOn w:val="MJAnormal"/>
    <w:next w:val="MJAnormal"/>
    <w:autoRedefine/>
    <w:qFormat/>
    <w:rsid w:val="008B3B01"/>
    <w:pPr>
      <w:keepNext/>
      <w:keepLines/>
      <w:tabs>
        <w:tab w:val="left" w:pos="397"/>
      </w:tabs>
      <w:spacing w:before="240" w:line="240" w:lineRule="auto"/>
      <w:jc w:val="center"/>
      <w:outlineLvl w:val="3"/>
    </w:pPr>
    <w:rPr>
      <w:rFonts w:ascii="Corbel" w:hAnsi="Corbel"/>
      <w:color w:val="0093D0"/>
      <w:sz w:val="24"/>
      <w:szCs w:val="20"/>
    </w:rPr>
  </w:style>
  <w:style w:type="character" w:customStyle="1" w:styleId="MJAnormalChar1">
    <w:name w:val="MJA normal Char1"/>
    <w:basedOn w:val="DefaultParagraphFont"/>
    <w:link w:val="MJAnormal"/>
    <w:locked/>
    <w:rsid w:val="005927B0"/>
    <w:rPr>
      <w:rFonts w:ascii="Times New Roman" w:eastAsia="Times New Roman" w:hAnsi="Times New Roman" w:cs="Times New Roman"/>
      <w:lang w:eastAsia="en-AU"/>
    </w:rPr>
  </w:style>
  <w:style w:type="character" w:styleId="FootnoteReference">
    <w:name w:val="footnote reference"/>
    <w:basedOn w:val="DefaultParagraphFont"/>
    <w:semiHidden/>
    <w:unhideWhenUsed/>
    <w:rsid w:val="005927B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7B0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92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7B0"/>
    <w:rPr>
      <w:rFonts w:eastAsia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92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7B0"/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EC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77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6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68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68A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A049E9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C33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50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4" Type="http://schemas.openxmlformats.org/officeDocument/2006/relationships/hyperlink" Target="http://agriculture.gov.au/water/markets/market-price-information" TargetMode="Externa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63994-375D-4CAB-95A0-59789850B2C2}"/>
</file>

<file path=customXml/itemProps2.xml><?xml version="1.0" encoding="utf-8"?>
<ds:datastoreItem xmlns:ds="http://schemas.openxmlformats.org/officeDocument/2006/customXml" ds:itemID="{74E80137-49D4-4631-B36B-8F8A61B8DCB5}"/>
</file>

<file path=customXml/itemProps3.xml><?xml version="1.0" encoding="utf-8"?>
<ds:datastoreItem xmlns:ds="http://schemas.openxmlformats.org/officeDocument/2006/customXml" ds:itemID="{3D72B6B9-AF9F-43AF-9F76-06B81944E283}"/>
</file>

<file path=customXml/itemProps4.xml><?xml version="1.0" encoding="utf-8"?>
<ds:datastoreItem xmlns:ds="http://schemas.openxmlformats.org/officeDocument/2006/customXml" ds:itemID="{0A4276D5-5599-4EF5-9A3B-3F1E8A6FE82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E963994-375D-4CAB-95A0-59789850B2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CF6381F-AF51-4543-AE99-E29D0666501D}"/>
</file>

<file path=customXml/itemProps7.xml><?xml version="1.0" encoding="utf-8"?>
<ds:datastoreItem xmlns:ds="http://schemas.openxmlformats.org/officeDocument/2006/customXml" ds:itemID="{66C735D3-0936-4B3E-985D-CE0EB602A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Q 2015 Draft Summary Report</vt:lpstr>
    </vt:vector>
  </TitlesOfParts>
  <Company>DEWHA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Q 2015 Draft Summary Report</dc:title>
  <dc:creator>Rod Carr</dc:creator>
  <cp:lastModifiedBy>Ohmsen, Renee</cp:lastModifiedBy>
  <cp:revision>2</cp:revision>
  <cp:lastPrinted>2017-05-11T23:50:00Z</cp:lastPrinted>
  <dcterms:created xsi:type="dcterms:W3CDTF">2017-06-19T22:36:00Z</dcterms:created>
  <dcterms:modified xsi:type="dcterms:W3CDTF">2017-06-19T22:36:00Z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WorkflowType">
    <vt:lpwstr>ActiveSubmitStub</vt:lpwstr>
  </property>
  <property fmtid="{D5CDD505-2E9C-101B-9397-08002B2CF9AE}" pid="3" name="RecordPoint_ActiveItemSiteId">
    <vt:lpwstr>{254fee0d-4777-48aa-bc34-2dc772f8c69f}</vt:lpwstr>
  </property>
  <property fmtid="{D5CDD505-2E9C-101B-9397-08002B2CF9AE}" pid="4" name="RecordPoint_ActiveItemListId">
    <vt:lpwstr>{0eec9deb-e8fc-4a7d-baef-60074d8a093e}</vt:lpwstr>
  </property>
  <property fmtid="{D5CDD505-2E9C-101B-9397-08002B2CF9AE}" pid="5" name="RecordPoint_ActiveItemUniqueId">
    <vt:lpwstr>{ce5e324f-bbbf-450e-9a66-240472b375bf}</vt:lpwstr>
  </property>
  <property fmtid="{D5CDD505-2E9C-101B-9397-08002B2CF9AE}" pid="6" name="RecordPoint_ActiveItemWebId">
    <vt:lpwstr>{3f329a68-e496-4f07-bde1-253d647fcab0}</vt:lpwstr>
  </property>
  <property fmtid="{D5CDD505-2E9C-101B-9397-08002B2CF9AE}" pid="7" name="RecordPoint_SubmissionCompleted">
    <vt:lpwstr/>
  </property>
  <property fmtid="{D5CDD505-2E9C-101B-9397-08002B2CF9AE}" pid="8" name="RecordPoint_RecordNumberSubmitted">
    <vt:lpwstr/>
  </property>
  <property fmtid="{D5CDD505-2E9C-101B-9397-08002B2CF9AE}" pid="9" name="ContentTypeId">
    <vt:lpwstr>0x01010078F6B24EF29B14488A4D3E054F39A21B</vt:lpwstr>
  </property>
  <property fmtid="{D5CDD505-2E9C-101B-9397-08002B2CF9AE}" pid="10" name="RecordPoint_SubmissionDate">
    <vt:lpwstr/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</Properties>
</file>