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95E08" w14:textId="6108F68F" w:rsidR="004E0DCB" w:rsidRPr="007074BD" w:rsidRDefault="00F67F09" w:rsidP="007074BD">
      <w:pPr>
        <w:pStyle w:val="Heading1"/>
      </w:pPr>
      <w:bookmarkStart w:id="0" w:name="_GoBack"/>
      <w:bookmarkEnd w:id="0"/>
      <w:r w:rsidRPr="007074BD">
        <w:t>National Partnership Agreement on Implementing Water Reform in the Murray–Darling Basin</w:t>
      </w:r>
    </w:p>
    <w:p w14:paraId="71293823" w14:textId="77777777" w:rsidR="004E0DCB" w:rsidRDefault="00F67F09" w:rsidP="007074BD">
      <w:pPr>
        <w:pStyle w:val="Subtitle"/>
      </w:pPr>
      <w:r>
        <w:t xml:space="preserve">Commonwealth </w:t>
      </w:r>
      <w:r w:rsidRPr="007074BD">
        <w:t>payments</w:t>
      </w:r>
      <w:r>
        <w:t xml:space="preserve"> to Basin states</w:t>
      </w:r>
    </w:p>
    <w:p w14:paraId="555B91BF" w14:textId="77777777" w:rsidR="004E0DCB" w:rsidRDefault="00F67F09" w:rsidP="007074BD">
      <w:pPr>
        <w:pStyle w:val="Picture"/>
        <w:spacing w:before="960"/>
      </w:pPr>
      <w:r>
        <w:drawing>
          <wp:inline distT="0" distB="0" distL="0" distR="0" wp14:anchorId="49410A10" wp14:editId="2A15CD04">
            <wp:extent cx="5765165" cy="5516245"/>
            <wp:effectExtent l="0" t="0" r="6985" b="8255"/>
            <wp:docPr id="1" name="Picture 3" descr="Departmental biosp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551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3301E" w14:textId="3FF3B4B8" w:rsidR="004E0DCB" w:rsidRDefault="00F67F09">
      <w:pPr>
        <w:pStyle w:val="Normalsmall"/>
      </w:pPr>
      <w:r>
        <w:br w:type="page"/>
      </w:r>
      <w:r>
        <w:lastRenderedPageBreak/>
        <w:t>© Commonwealth of Australia 20</w:t>
      </w:r>
      <w:r w:rsidR="00337260">
        <w:t>20</w:t>
      </w:r>
    </w:p>
    <w:p w14:paraId="7089BFAB" w14:textId="77777777" w:rsidR="004E0DCB" w:rsidRDefault="00F67F09">
      <w:pPr>
        <w:pStyle w:val="Normalsmall"/>
        <w:rPr>
          <w:rStyle w:val="Strong"/>
        </w:rPr>
      </w:pPr>
      <w:r>
        <w:rPr>
          <w:rStyle w:val="Strong"/>
        </w:rPr>
        <w:t>Ownership of intellectual property rights</w:t>
      </w:r>
    </w:p>
    <w:p w14:paraId="6F8AFBFA" w14:textId="77777777" w:rsidR="004E0DCB" w:rsidRDefault="00F67F09">
      <w:pPr>
        <w:pStyle w:val="Normalsmall"/>
      </w:pPr>
      <w:r>
        <w:t>Unless otherwise noted, copyright (and any other intellectual property rights, if any) in this publication is owned by the Commonwealth of Australia (referred to as the Commonwealth).</w:t>
      </w:r>
    </w:p>
    <w:p w14:paraId="41F1A593" w14:textId="77777777" w:rsidR="004E0DCB" w:rsidRDefault="00F67F09">
      <w:pPr>
        <w:pStyle w:val="Normalsmall"/>
        <w:rPr>
          <w:rStyle w:val="Strong"/>
        </w:rPr>
      </w:pPr>
      <w:r>
        <w:rPr>
          <w:rStyle w:val="Strong"/>
        </w:rPr>
        <w:t>Creative Commons licence</w:t>
      </w:r>
    </w:p>
    <w:p w14:paraId="6E69C6B3" w14:textId="77777777" w:rsidR="004E0DCB" w:rsidRDefault="00F67F09">
      <w:pPr>
        <w:pStyle w:val="Normalsmall"/>
      </w:pPr>
      <w:r>
        <w:t xml:space="preserve">All material in this publication is licensed under a Creative </w:t>
      </w:r>
      <w:hyperlink r:id="rId12" w:history="1">
        <w:r>
          <w:rPr>
            <w:rStyle w:val="Hyperlink"/>
          </w:rPr>
          <w:t>Commons Attribution 4.0 International Licence</w:t>
        </w:r>
      </w:hyperlink>
      <w:r>
        <w:t xml:space="preserve"> except content supplied by third parties, logos and the Commonwealth Coat of Arms.</w:t>
      </w:r>
    </w:p>
    <w:p w14:paraId="6AF8BA1C" w14:textId="77777777" w:rsidR="004E0DCB" w:rsidRDefault="00F67F09">
      <w:pPr>
        <w:pStyle w:val="Normalsmall"/>
      </w:pPr>
      <w:r>
        <w:t xml:space="preserve">Inquiries about the licence and any use of this document should be emailed to </w:t>
      </w:r>
      <w:hyperlink r:id="rId13" w:history="1">
        <w:r>
          <w:rPr>
            <w:rStyle w:val="Hyperlink"/>
          </w:rPr>
          <w:t>copyright@agriculture.gov.au</w:t>
        </w:r>
      </w:hyperlink>
      <w:r>
        <w:t>.</w:t>
      </w:r>
    </w:p>
    <w:p w14:paraId="6308B264" w14:textId="77777777" w:rsidR="004E0DCB" w:rsidRDefault="00F67F09">
      <w:pPr>
        <w:pStyle w:val="Normalsmall"/>
      </w:pPr>
      <w:r>
        <w:rPr>
          <w:noProof/>
          <w:lang w:eastAsia="en-AU"/>
        </w:rPr>
        <w:drawing>
          <wp:inline distT="0" distB="0" distL="0" distR="0" wp14:anchorId="323D2CAD" wp14:editId="6FE7BAAB">
            <wp:extent cx="724535" cy="255270"/>
            <wp:effectExtent l="19050" t="0" r="0" b="0"/>
            <wp:docPr id="2" name="Picture 1" descr="C:\Documents and Settings\west merryn\Local Settings\Temporary Internet Files\Content.Word\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est merryn\Local Settings\Temporary Internet Files\Content.Word\by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087A9" w14:textId="77777777" w:rsidR="004E0DCB" w:rsidRDefault="00F67F09">
      <w:pPr>
        <w:pStyle w:val="Normalsmall"/>
        <w:rPr>
          <w:rStyle w:val="Strong"/>
        </w:rPr>
      </w:pPr>
      <w:r>
        <w:rPr>
          <w:rStyle w:val="Strong"/>
        </w:rPr>
        <w:t>Cataloguing data</w:t>
      </w:r>
    </w:p>
    <w:p w14:paraId="3F51CB97" w14:textId="0D034771" w:rsidR="00337260" w:rsidRDefault="00F67F09">
      <w:pPr>
        <w:pStyle w:val="Normalsmall"/>
      </w:pPr>
      <w:r>
        <w:t>This publication (and any material sourced fr</w:t>
      </w:r>
      <w:r w:rsidR="007074BD">
        <w:t>om it) should be attributed as:</w:t>
      </w:r>
    </w:p>
    <w:p w14:paraId="1251365D" w14:textId="5FC93665" w:rsidR="004E0DCB" w:rsidRDefault="00F67F09">
      <w:pPr>
        <w:pStyle w:val="Normalsmall"/>
      </w:pPr>
      <w:r>
        <w:t>Department of Agriculture</w:t>
      </w:r>
      <w:r w:rsidR="00337260">
        <w:t>, Water and the Environment 2020,</w:t>
      </w:r>
      <w:r>
        <w:t xml:space="preserve"> </w:t>
      </w:r>
      <w:r>
        <w:rPr>
          <w:rStyle w:val="Emphasis"/>
        </w:rPr>
        <w:t>National Partnership Agreement on Implementing Water Reform in the Murray–Darling Basin: Commonwealth payments to Basin states</w:t>
      </w:r>
      <w:r w:rsidR="0060292B">
        <w:t xml:space="preserve">, Canberra, CC BY </w:t>
      </w:r>
      <w:r>
        <w:t>4.0.</w:t>
      </w:r>
    </w:p>
    <w:p w14:paraId="509F4AB4" w14:textId="77777777" w:rsidR="004E0DCB" w:rsidRDefault="00F67F09">
      <w:pPr>
        <w:pStyle w:val="Normalsmall"/>
      </w:pPr>
      <w:r>
        <w:t xml:space="preserve">This publication is available at </w:t>
      </w:r>
      <w:hyperlink r:id="rId15" w:history="1">
        <w:r>
          <w:rPr>
            <w:rStyle w:val="Hyperlink"/>
          </w:rPr>
          <w:t>agriculture.gov.au/water/mdb/npa-water-reform-mdb-milestone-reports</w:t>
        </w:r>
      </w:hyperlink>
      <w:r>
        <w:t>.</w:t>
      </w:r>
    </w:p>
    <w:p w14:paraId="0A01A8B8" w14:textId="4894C67A" w:rsidR="004E0DCB" w:rsidRDefault="00F67F09" w:rsidP="00337260">
      <w:pPr>
        <w:pStyle w:val="Normalsmall"/>
        <w:spacing w:after="60"/>
      </w:pPr>
      <w:r>
        <w:t>Department of Agriculture</w:t>
      </w:r>
      <w:r w:rsidR="00337260">
        <w:t>, Water and the Environment</w:t>
      </w:r>
    </w:p>
    <w:p w14:paraId="7CB25FB3" w14:textId="77777777" w:rsidR="004E0DCB" w:rsidRDefault="00F67F09">
      <w:pPr>
        <w:pStyle w:val="Normalsmall"/>
        <w:spacing w:after="0"/>
      </w:pPr>
      <w:r>
        <w:t>GPO Box 858 Canberra ACT 2601</w:t>
      </w:r>
    </w:p>
    <w:p w14:paraId="620E5375" w14:textId="77777777" w:rsidR="004E0DCB" w:rsidRDefault="00F67F09">
      <w:pPr>
        <w:pStyle w:val="Normalsmall"/>
        <w:spacing w:after="0"/>
      </w:pPr>
      <w:r>
        <w:t>Telephone 1800 900 090</w:t>
      </w:r>
    </w:p>
    <w:p w14:paraId="5AA48C0A" w14:textId="20C50E12" w:rsidR="004E0DCB" w:rsidRDefault="00F67F09">
      <w:pPr>
        <w:pStyle w:val="Normalsmall"/>
      </w:pPr>
      <w:r>
        <w:t xml:space="preserve">Web </w:t>
      </w:r>
      <w:hyperlink r:id="rId16" w:history="1">
        <w:r>
          <w:rPr>
            <w:rStyle w:val="Hyperlink"/>
          </w:rPr>
          <w:t>a</w:t>
        </w:r>
        <w:r w:rsidR="00337260">
          <w:rPr>
            <w:rStyle w:val="Hyperlink"/>
          </w:rPr>
          <w:t>w</w:t>
        </w:r>
        <w:r>
          <w:rPr>
            <w:rStyle w:val="Hyperlink"/>
          </w:rPr>
          <w:t>e.gov.au</w:t>
        </w:r>
      </w:hyperlink>
    </w:p>
    <w:p w14:paraId="759D41FB" w14:textId="559BFA3A" w:rsidR="004E0DCB" w:rsidRDefault="00F67F09">
      <w:pPr>
        <w:pStyle w:val="Normalsmall"/>
      </w:pPr>
      <w:r>
        <w:t>The Australian Government acting through the Department of Agriculture</w:t>
      </w:r>
      <w:r w:rsidR="00337260">
        <w:t>, Water and the Environment</w:t>
      </w:r>
      <w:r>
        <w:t xml:space="preserve"> has exercised due care and skill in preparing and compiling the information and data in this publication. Notwithstanding, the Department of Agriculture</w:t>
      </w:r>
      <w:r w:rsidR="00337260">
        <w:t>, Water and the Environment</w:t>
      </w:r>
      <w:r>
        <w:t>, its employees and advisers disclaim all liability, including liability for negligence and for any loss, damage, injury, expense or cost incurred by any person as a result of accessing, using or relying on any of the information or data in this publication to the maximum extent permitted by law.</w:t>
      </w:r>
    </w:p>
    <w:p w14:paraId="2CF93F08" w14:textId="77777777" w:rsidR="004E0DCB" w:rsidRDefault="004E0DCB">
      <w:pPr>
        <w:sectPr w:rsidR="004E0DCB">
          <w:headerReference w:type="default" r:id="rId17"/>
          <w:footerReference w:type="default" r:id="rId18"/>
          <w:headerReference w:type="first" r:id="rId19"/>
          <w:pgSz w:w="11906" w:h="16838"/>
          <w:pgMar w:top="1418" w:right="1418" w:bottom="1418" w:left="1418" w:header="567" w:footer="283" w:gutter="0"/>
          <w:pgNumType w:fmt="lowerRoman" w:start="1"/>
          <w:cols w:space="708"/>
          <w:titlePg/>
          <w:docGrid w:linePitch="360"/>
        </w:sectPr>
      </w:pPr>
    </w:p>
    <w:p w14:paraId="70F3F1B1" w14:textId="69989C6C" w:rsidR="004E0DCB" w:rsidRDefault="00F67F09">
      <w:pPr>
        <w:pStyle w:val="Heading2"/>
        <w:numPr>
          <w:ilvl w:val="0"/>
          <w:numId w:val="0"/>
        </w:numPr>
      </w:pPr>
      <w:r>
        <w:lastRenderedPageBreak/>
        <w:t>Commonwealth payments to Basin states</w:t>
      </w:r>
    </w:p>
    <w:p w14:paraId="598C00B2" w14:textId="486B52C0" w:rsidR="004E0DCB" w:rsidRDefault="009270B3" w:rsidP="0060292B">
      <w:r>
        <w:t>T</w:t>
      </w:r>
      <w:r w:rsidR="00F67F09">
        <w:t xml:space="preserve">he </w:t>
      </w:r>
      <w:r w:rsidR="006F3BE8" w:rsidRPr="00337260">
        <w:rPr>
          <w:i/>
        </w:rPr>
        <w:t>National Partnership Agreement on Implementing Water Reform in the Murray–Darling Basin</w:t>
      </w:r>
      <w:r w:rsidR="00F67F09">
        <w:t xml:space="preserve"> (NPA) provides for Commonwealth payme</w:t>
      </w:r>
      <w:r w:rsidR="0060292B">
        <w:t xml:space="preserve">nts to the Basin states. </w:t>
      </w:r>
      <w:r w:rsidR="00F67F09">
        <w:t xml:space="preserve">The Commonwealth must make </w:t>
      </w:r>
      <w:r w:rsidR="00AB4D3E">
        <w:t xml:space="preserve">these </w:t>
      </w:r>
      <w:r w:rsidR="00F67F09">
        <w:t xml:space="preserve">payments in accordance with Schedule D </w:t>
      </w:r>
      <w:r w:rsidR="008A0EAA">
        <w:t xml:space="preserve">– </w:t>
      </w:r>
      <w:r w:rsidR="00F67F09">
        <w:t xml:space="preserve">Payment arrangements of the </w:t>
      </w:r>
      <w:hyperlink r:id="rId20" w:history="1">
        <w:r w:rsidR="00F67F09">
          <w:rPr>
            <w:rStyle w:val="Hyperlink"/>
          </w:rPr>
          <w:t>Intergovernmental Agreement on Federal Financial Relations</w:t>
        </w:r>
      </w:hyperlink>
      <w:r w:rsidR="00AB4D3E" w:rsidRPr="00AB4D3E">
        <w:rPr>
          <w:rStyle w:val="Hyperlink"/>
          <w:u w:val="none"/>
        </w:rPr>
        <w:t xml:space="preserve">. </w:t>
      </w:r>
      <w:r w:rsidR="00AB4D3E">
        <w:t xml:space="preserve">The Commonwealth's estimated financial contribution, as per Clause 28 of the NPA, is shown in </w:t>
      </w:r>
      <w:r w:rsidR="00F67F09">
        <w:fldChar w:fldCharType="begin"/>
      </w:r>
      <w:r w:rsidR="00F67F09" w:rsidRPr="0060292B">
        <w:instrText xml:space="preserve"> REF _Ref519078865 \h  \* MERGEFORMAT </w:instrText>
      </w:r>
      <w:r w:rsidR="00F67F09">
        <w:fldChar w:fldCharType="separate"/>
      </w:r>
      <w:r w:rsidR="00573A62">
        <w:t xml:space="preserve">Table </w:t>
      </w:r>
      <w:r w:rsidR="00573A62">
        <w:rPr>
          <w:noProof/>
        </w:rPr>
        <w:t>1</w:t>
      </w:r>
      <w:r w:rsidR="00F67F09">
        <w:fldChar w:fldCharType="end"/>
      </w:r>
      <w:r w:rsidR="00F67F09">
        <w:t>.</w:t>
      </w:r>
    </w:p>
    <w:p w14:paraId="6B038DFE" w14:textId="784BCA35" w:rsidR="004E0DCB" w:rsidRDefault="00F67F09">
      <w:pPr>
        <w:pStyle w:val="Caption"/>
      </w:pPr>
      <w:bookmarkStart w:id="1" w:name="_Ref519078865"/>
      <w:r>
        <w:t xml:space="preserve">Table </w:t>
      </w:r>
      <w:r w:rsidR="00E96792">
        <w:rPr>
          <w:noProof/>
        </w:rPr>
        <w:fldChar w:fldCharType="begin"/>
      </w:r>
      <w:r w:rsidR="00E96792">
        <w:rPr>
          <w:noProof/>
        </w:rPr>
        <w:instrText xml:space="preserve"> SEQ Table \* ARABIC </w:instrText>
      </w:r>
      <w:r w:rsidR="00E96792">
        <w:rPr>
          <w:noProof/>
        </w:rPr>
        <w:fldChar w:fldCharType="separate"/>
      </w:r>
      <w:r w:rsidR="00573A62">
        <w:rPr>
          <w:noProof/>
        </w:rPr>
        <w:t>1</w:t>
      </w:r>
      <w:r w:rsidR="00E96792">
        <w:rPr>
          <w:noProof/>
        </w:rPr>
        <w:fldChar w:fldCharType="end"/>
      </w:r>
      <w:bookmarkEnd w:id="1"/>
      <w:r>
        <w:t xml:space="preserve"> Estimated Commonwealth financial contributions to Basin states, 2012–13 to 2019–20</w:t>
      </w:r>
    </w:p>
    <w:tbl>
      <w:tblPr>
        <w:tblStyle w:val="TableGrid"/>
        <w:tblW w:w="93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1326"/>
        <w:gridCol w:w="1286"/>
        <w:gridCol w:w="1292"/>
        <w:gridCol w:w="1276"/>
        <w:gridCol w:w="1300"/>
        <w:gridCol w:w="1599"/>
      </w:tblGrid>
      <w:tr w:rsidR="004E0DCB" w14:paraId="03EDBDEE" w14:textId="77777777" w:rsidTr="00AF0841">
        <w:trPr>
          <w:cantSplit/>
          <w:tblHeader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026B479B" w14:textId="77777777" w:rsidR="004E0DCB" w:rsidRDefault="00F67F09">
            <w:pPr>
              <w:pStyle w:val="TableHeading"/>
            </w:pPr>
            <w:r>
              <w:t>Year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68A6C25F" w14:textId="77777777" w:rsidR="004E0DCB" w:rsidRDefault="00F67F09">
            <w:pPr>
              <w:pStyle w:val="TableHeading"/>
              <w:jc w:val="right"/>
            </w:pPr>
            <w:r>
              <w:t>NSW ($)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607BB823" w14:textId="77777777" w:rsidR="004E0DCB" w:rsidRDefault="00F67F09">
            <w:pPr>
              <w:pStyle w:val="TableHeading"/>
              <w:jc w:val="right"/>
            </w:pPr>
            <w:r>
              <w:t>Vic. ($)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14:paraId="055410B4" w14:textId="77777777" w:rsidR="004E0DCB" w:rsidRDefault="00F67F09">
            <w:pPr>
              <w:pStyle w:val="TableHeading"/>
              <w:jc w:val="right"/>
            </w:pPr>
            <w:r>
              <w:t>Qld ($)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1171C8" w14:textId="77777777" w:rsidR="004E0DCB" w:rsidRDefault="00F67F09">
            <w:pPr>
              <w:pStyle w:val="TableHeading"/>
              <w:jc w:val="right"/>
            </w:pPr>
            <w:r>
              <w:t>SA ($)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946B577" w14:textId="77777777" w:rsidR="004E0DCB" w:rsidRDefault="00F67F09">
            <w:pPr>
              <w:pStyle w:val="TableHeading"/>
              <w:jc w:val="right"/>
            </w:pPr>
            <w:r>
              <w:t>ACT ($)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78AC455B" w14:textId="77777777" w:rsidR="004E0DCB" w:rsidRDefault="00F67F09">
            <w:pPr>
              <w:pStyle w:val="TableHeading"/>
              <w:jc w:val="right"/>
            </w:pPr>
            <w:r>
              <w:t>Total ($)</w:t>
            </w:r>
          </w:p>
        </w:tc>
      </w:tr>
      <w:tr w:rsidR="004E0DCB" w14:paraId="05BC767C" w14:textId="77777777" w:rsidTr="00AF0841">
        <w:tc>
          <w:tcPr>
            <w:tcW w:w="1299" w:type="dxa"/>
            <w:tcBorders>
              <w:top w:val="single" w:sz="4" w:space="0" w:color="auto"/>
            </w:tcBorders>
          </w:tcPr>
          <w:p w14:paraId="529C0F54" w14:textId="77777777" w:rsidR="004E0DCB" w:rsidRDefault="00F67F09">
            <w:pPr>
              <w:pStyle w:val="TableText"/>
            </w:pPr>
            <w:r>
              <w:t>2012–13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804E860" w14:textId="77777777" w:rsidR="004E0DCB" w:rsidRDefault="00F67F09">
            <w:pPr>
              <w:pStyle w:val="TableText"/>
              <w:jc w:val="right"/>
            </w:pPr>
            <w:r>
              <w:t>2,820,630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7F538310" w14:textId="77777777" w:rsidR="004E0DCB" w:rsidRDefault="00F67F09">
            <w:pPr>
              <w:pStyle w:val="TableText"/>
              <w:jc w:val="right"/>
            </w:pPr>
            <w:r>
              <w:t xml:space="preserve">2,039,997 </w:t>
            </w:r>
            <w:r>
              <w:rPr>
                <w:rStyle w:val="Strong"/>
              </w:rPr>
              <w:t>a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41D7F4FF" w14:textId="77777777" w:rsidR="004E0DCB" w:rsidRDefault="00F67F09">
            <w:pPr>
              <w:pStyle w:val="TableText"/>
              <w:jc w:val="right"/>
            </w:pPr>
            <w:r>
              <w:t>595,452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DEC1F7" w14:textId="77777777" w:rsidR="004E0DCB" w:rsidRDefault="00F67F09">
            <w:pPr>
              <w:pStyle w:val="TableText"/>
              <w:jc w:val="right"/>
            </w:pPr>
            <w:r>
              <w:t xml:space="preserve">445,863 </w:t>
            </w:r>
            <w:r>
              <w:rPr>
                <w:rStyle w:val="Strong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40C3E6B7" w14:textId="77777777" w:rsidR="004E0DCB" w:rsidRDefault="00F67F09">
            <w:pPr>
              <w:pStyle w:val="TableText"/>
              <w:jc w:val="right"/>
            </w:pPr>
            <w:r>
              <w:t xml:space="preserve">98,058 </w:t>
            </w:r>
            <w:r>
              <w:rPr>
                <w:rStyle w:val="Strong"/>
              </w:rPr>
              <w:t>a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3676C6FC" w14:textId="77777777" w:rsidR="004E0DCB" w:rsidRDefault="00F67F09">
            <w:pPr>
              <w:pStyle w:val="TableText"/>
              <w:jc w:val="right"/>
            </w:pPr>
            <w:r>
              <w:t>6,000,000</w:t>
            </w:r>
          </w:p>
        </w:tc>
      </w:tr>
      <w:tr w:rsidR="004E0DCB" w14:paraId="04668419" w14:textId="77777777" w:rsidTr="00AF0841">
        <w:tc>
          <w:tcPr>
            <w:tcW w:w="1299" w:type="dxa"/>
            <w:vMerge w:val="restart"/>
          </w:tcPr>
          <w:p w14:paraId="2A1A2AB8" w14:textId="77777777" w:rsidR="004E0DCB" w:rsidRDefault="00F67F09">
            <w:pPr>
              <w:pStyle w:val="TableText"/>
            </w:pPr>
            <w:r>
              <w:t>2013–14</w:t>
            </w:r>
          </w:p>
        </w:tc>
        <w:tc>
          <w:tcPr>
            <w:tcW w:w="1326" w:type="dxa"/>
          </w:tcPr>
          <w:p w14:paraId="48E5AD1C" w14:textId="0E99429A" w:rsidR="004E0DCB" w:rsidRDefault="00F67F09" w:rsidP="00F67F09">
            <w:pPr>
              <w:pStyle w:val="TableText"/>
              <w:jc w:val="right"/>
            </w:pPr>
            <w:r>
              <w:t xml:space="preserve">3,481,462 </w:t>
            </w:r>
            <w:r>
              <w:rPr>
                <w:rStyle w:val="Strong"/>
              </w:rPr>
              <w:t>b</w:t>
            </w:r>
          </w:p>
        </w:tc>
        <w:tc>
          <w:tcPr>
            <w:tcW w:w="1286" w:type="dxa"/>
          </w:tcPr>
          <w:p w14:paraId="2E2EE3F7" w14:textId="77777777" w:rsidR="004E0DCB" w:rsidRDefault="00F67F09">
            <w:pPr>
              <w:pStyle w:val="TableText"/>
              <w:jc w:val="right"/>
            </w:pPr>
            <w:r>
              <w:t xml:space="preserve">2,861,453 </w:t>
            </w:r>
            <w:r>
              <w:rPr>
                <w:rStyle w:val="Strong"/>
              </w:rPr>
              <w:t>b</w:t>
            </w:r>
          </w:p>
        </w:tc>
        <w:tc>
          <w:tcPr>
            <w:tcW w:w="1292" w:type="dxa"/>
          </w:tcPr>
          <w:p w14:paraId="57EC3792" w14:textId="77777777" w:rsidR="004E0DCB" w:rsidRDefault="00F67F09">
            <w:pPr>
              <w:pStyle w:val="TableText"/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C1CC8C3" w14:textId="77777777" w:rsidR="004E0DCB" w:rsidRDefault="00F67F09">
            <w:pPr>
              <w:pStyle w:val="TableText"/>
              <w:jc w:val="right"/>
            </w:pPr>
            <w:r>
              <w:t xml:space="preserve">557,085 </w:t>
            </w:r>
            <w:r>
              <w:rPr>
                <w:rStyle w:val="Strong"/>
              </w:rPr>
              <w:t>b</w:t>
            </w:r>
          </w:p>
        </w:tc>
        <w:tc>
          <w:tcPr>
            <w:tcW w:w="1300" w:type="dxa"/>
          </w:tcPr>
          <w:p w14:paraId="174EA9D3" w14:textId="77777777" w:rsidR="004E0DCB" w:rsidRDefault="00F67F09">
            <w:pPr>
              <w:pStyle w:val="TableText"/>
              <w:jc w:val="right"/>
            </w:pPr>
            <w:r>
              <w:t>0</w:t>
            </w:r>
          </w:p>
        </w:tc>
        <w:tc>
          <w:tcPr>
            <w:tcW w:w="1599" w:type="dxa"/>
          </w:tcPr>
          <w:p w14:paraId="3FD5B3FB" w14:textId="77777777" w:rsidR="004E0DCB" w:rsidRDefault="00F67F09">
            <w:pPr>
              <w:pStyle w:val="TableText"/>
              <w:jc w:val="right"/>
            </w:pPr>
            <w:r>
              <w:t>6,900,000</w:t>
            </w:r>
          </w:p>
        </w:tc>
      </w:tr>
      <w:tr w:rsidR="004E0DCB" w14:paraId="03BD2902" w14:textId="77777777" w:rsidTr="00AF0841">
        <w:tc>
          <w:tcPr>
            <w:tcW w:w="1299" w:type="dxa"/>
            <w:vMerge/>
          </w:tcPr>
          <w:p w14:paraId="6BE65360" w14:textId="77777777" w:rsidR="004E0DCB" w:rsidRDefault="004E0DCB">
            <w:pPr>
              <w:pStyle w:val="TableText"/>
              <w:rPr>
                <w:highlight w:val="yellow"/>
              </w:rPr>
            </w:pPr>
          </w:p>
        </w:tc>
        <w:tc>
          <w:tcPr>
            <w:tcW w:w="1326" w:type="dxa"/>
          </w:tcPr>
          <w:p w14:paraId="7E196EBA" w14:textId="77777777" w:rsidR="004E0DCB" w:rsidRDefault="00F67F09">
            <w:pPr>
              <w:pStyle w:val="TableText"/>
              <w:jc w:val="right"/>
            </w:pPr>
            <w:r>
              <w:t xml:space="preserve">11,568,609 </w:t>
            </w:r>
            <w:r>
              <w:rPr>
                <w:rStyle w:val="Strong"/>
              </w:rPr>
              <w:t>c</w:t>
            </w:r>
          </w:p>
        </w:tc>
        <w:tc>
          <w:tcPr>
            <w:tcW w:w="1286" w:type="dxa"/>
          </w:tcPr>
          <w:p w14:paraId="30B9C24B" w14:textId="77777777" w:rsidR="004E0DCB" w:rsidRDefault="00F67F09">
            <w:pPr>
              <w:pStyle w:val="TableText"/>
              <w:jc w:val="right"/>
            </w:pPr>
            <w:r>
              <w:t xml:space="preserve">8,882,173 </w:t>
            </w:r>
            <w:r>
              <w:rPr>
                <w:rStyle w:val="Strong"/>
              </w:rPr>
              <w:t>c</w:t>
            </w:r>
          </w:p>
        </w:tc>
        <w:tc>
          <w:tcPr>
            <w:tcW w:w="1292" w:type="dxa"/>
          </w:tcPr>
          <w:p w14:paraId="615F804D" w14:textId="77777777" w:rsidR="004E0DCB" w:rsidRDefault="00F67F09">
            <w:pPr>
              <w:pStyle w:val="TableText"/>
              <w:jc w:val="right"/>
            </w:pPr>
            <w:r>
              <w:t>1,339,767</w:t>
            </w:r>
          </w:p>
        </w:tc>
        <w:tc>
          <w:tcPr>
            <w:tcW w:w="1276" w:type="dxa"/>
          </w:tcPr>
          <w:p w14:paraId="27C9E7A3" w14:textId="77777777" w:rsidR="004E0DCB" w:rsidRDefault="00F67F09">
            <w:pPr>
              <w:pStyle w:val="TableText"/>
              <w:jc w:val="right"/>
            </w:pPr>
            <w:r>
              <w:t xml:space="preserve">1,838,819 </w:t>
            </w:r>
            <w:r>
              <w:rPr>
                <w:rStyle w:val="Strong"/>
              </w:rPr>
              <w:t>c</w:t>
            </w:r>
          </w:p>
        </w:tc>
        <w:tc>
          <w:tcPr>
            <w:tcW w:w="1300" w:type="dxa"/>
          </w:tcPr>
          <w:p w14:paraId="07C80DA4" w14:textId="77777777" w:rsidR="004E0DCB" w:rsidRDefault="00F67F09">
            <w:pPr>
              <w:pStyle w:val="TableText"/>
              <w:jc w:val="right"/>
            </w:pPr>
            <w:r>
              <w:t>220,632</w:t>
            </w:r>
          </w:p>
        </w:tc>
        <w:tc>
          <w:tcPr>
            <w:tcW w:w="1599" w:type="dxa"/>
          </w:tcPr>
          <w:p w14:paraId="20C0139D" w14:textId="77777777" w:rsidR="004E0DCB" w:rsidRDefault="00F67F09">
            <w:pPr>
              <w:pStyle w:val="TableText"/>
              <w:jc w:val="right"/>
            </w:pPr>
            <w:r>
              <w:t>23,850,000</w:t>
            </w:r>
          </w:p>
        </w:tc>
      </w:tr>
      <w:tr w:rsidR="004E0DCB" w14:paraId="64182398" w14:textId="77777777" w:rsidTr="00AF0841">
        <w:tc>
          <w:tcPr>
            <w:tcW w:w="1299" w:type="dxa"/>
          </w:tcPr>
          <w:p w14:paraId="0ADAE355" w14:textId="77777777" w:rsidR="004E0DCB" w:rsidRDefault="00F67F09">
            <w:pPr>
              <w:pStyle w:val="TableText"/>
            </w:pPr>
            <w:r>
              <w:t>2014–15</w:t>
            </w:r>
          </w:p>
        </w:tc>
        <w:tc>
          <w:tcPr>
            <w:tcW w:w="1326" w:type="dxa"/>
          </w:tcPr>
          <w:p w14:paraId="0A4FF0CD" w14:textId="77777777" w:rsidR="004E0DCB" w:rsidRDefault="00F67F09">
            <w:pPr>
              <w:pStyle w:val="TableText"/>
              <w:jc w:val="right"/>
            </w:pPr>
            <w:r>
              <w:t>14,624,291</w:t>
            </w:r>
          </w:p>
        </w:tc>
        <w:tc>
          <w:tcPr>
            <w:tcW w:w="1286" w:type="dxa"/>
          </w:tcPr>
          <w:p w14:paraId="37D58F70" w14:textId="77777777" w:rsidR="004E0DCB" w:rsidRDefault="00F67F09">
            <w:pPr>
              <w:pStyle w:val="TableText"/>
              <w:jc w:val="right"/>
            </w:pPr>
            <w:r>
              <w:t>11,092,169</w:t>
            </w:r>
          </w:p>
        </w:tc>
        <w:tc>
          <w:tcPr>
            <w:tcW w:w="1292" w:type="dxa"/>
          </w:tcPr>
          <w:p w14:paraId="16EC808D" w14:textId="77777777" w:rsidR="004E0DCB" w:rsidRDefault="00F67F09">
            <w:pPr>
              <w:pStyle w:val="TableText"/>
              <w:jc w:val="right"/>
            </w:pPr>
            <w:r>
              <w:t>1,984,841</w:t>
            </w:r>
          </w:p>
        </w:tc>
        <w:tc>
          <w:tcPr>
            <w:tcW w:w="1276" w:type="dxa"/>
          </w:tcPr>
          <w:p w14:paraId="0A0C51EE" w14:textId="77777777" w:rsidR="004E0DCB" w:rsidRDefault="00F67F09">
            <w:pPr>
              <w:pStyle w:val="TableText"/>
              <w:jc w:val="right"/>
            </w:pPr>
            <w:r>
              <w:t>2,321,837</w:t>
            </w:r>
          </w:p>
        </w:tc>
        <w:tc>
          <w:tcPr>
            <w:tcW w:w="1300" w:type="dxa"/>
          </w:tcPr>
          <w:p w14:paraId="15AFCD7D" w14:textId="77777777" w:rsidR="004E0DCB" w:rsidRDefault="00F67F09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146AE677" w14:textId="77777777" w:rsidR="004E0DCB" w:rsidRDefault="00F67F09">
            <w:pPr>
              <w:pStyle w:val="TableText"/>
              <w:jc w:val="right"/>
            </w:pPr>
            <w:r>
              <w:t>30,350,000</w:t>
            </w:r>
          </w:p>
        </w:tc>
      </w:tr>
      <w:tr w:rsidR="004E0DCB" w14:paraId="62B1297B" w14:textId="77777777" w:rsidTr="00AF0841">
        <w:tc>
          <w:tcPr>
            <w:tcW w:w="1299" w:type="dxa"/>
          </w:tcPr>
          <w:p w14:paraId="0D1A592F" w14:textId="77777777" w:rsidR="004E0DCB" w:rsidRDefault="00F67F09">
            <w:pPr>
              <w:pStyle w:val="TableText"/>
            </w:pPr>
            <w:r>
              <w:t>2015–16</w:t>
            </w:r>
          </w:p>
        </w:tc>
        <w:tc>
          <w:tcPr>
            <w:tcW w:w="1326" w:type="dxa"/>
          </w:tcPr>
          <w:p w14:paraId="46DC272E" w14:textId="77777777" w:rsidR="004E0DCB" w:rsidRDefault="00F67F09">
            <w:pPr>
              <w:pStyle w:val="TableText"/>
              <w:jc w:val="right"/>
            </w:pPr>
            <w:r>
              <w:t>12,883,561</w:t>
            </w:r>
          </w:p>
        </w:tc>
        <w:tc>
          <w:tcPr>
            <w:tcW w:w="1286" w:type="dxa"/>
          </w:tcPr>
          <w:p w14:paraId="06D7F804" w14:textId="77777777" w:rsidR="004E0DCB" w:rsidRDefault="00F67F09">
            <w:pPr>
              <w:pStyle w:val="TableText"/>
              <w:jc w:val="right"/>
            </w:pPr>
            <w:r>
              <w:t>9,661,442</w:t>
            </w:r>
          </w:p>
        </w:tc>
        <w:tc>
          <w:tcPr>
            <w:tcW w:w="1292" w:type="dxa"/>
          </w:tcPr>
          <w:p w14:paraId="26525EF0" w14:textId="77777777" w:rsidR="004E0DCB" w:rsidRDefault="00F67F09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4110DA7B" w14:textId="77777777" w:rsidR="004E0DCB" w:rsidRDefault="00F67F09">
            <w:pPr>
              <w:pStyle w:val="TableText"/>
              <w:jc w:val="right"/>
            </w:pPr>
            <w:r>
              <w:t>2,043,295</w:t>
            </w:r>
          </w:p>
        </w:tc>
        <w:tc>
          <w:tcPr>
            <w:tcW w:w="1300" w:type="dxa"/>
          </w:tcPr>
          <w:p w14:paraId="3E9A6A7D" w14:textId="77777777" w:rsidR="004E0DCB" w:rsidRDefault="00F67F09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44F41407" w14:textId="77777777" w:rsidR="004E0DCB" w:rsidRDefault="00F67F09">
            <w:pPr>
              <w:pStyle w:val="TableText"/>
              <w:jc w:val="right"/>
            </w:pPr>
            <w:r>
              <w:t>26,900,000</w:t>
            </w:r>
          </w:p>
        </w:tc>
      </w:tr>
      <w:tr w:rsidR="004E0DCB" w14:paraId="70F0567B" w14:textId="77777777" w:rsidTr="00AF0841">
        <w:tc>
          <w:tcPr>
            <w:tcW w:w="1299" w:type="dxa"/>
          </w:tcPr>
          <w:p w14:paraId="419144D3" w14:textId="77777777" w:rsidR="004E0DCB" w:rsidRDefault="00F67F09">
            <w:pPr>
              <w:pStyle w:val="TableText"/>
            </w:pPr>
            <w:r>
              <w:t>2016–17</w:t>
            </w:r>
          </w:p>
        </w:tc>
        <w:tc>
          <w:tcPr>
            <w:tcW w:w="1326" w:type="dxa"/>
          </w:tcPr>
          <w:p w14:paraId="7D0A3721" w14:textId="77777777" w:rsidR="004E0DCB" w:rsidRDefault="00F67F09">
            <w:pPr>
              <w:pStyle w:val="TableText"/>
              <w:jc w:val="right"/>
            </w:pPr>
            <w:r>
              <w:t>9,402,099</w:t>
            </w:r>
          </w:p>
        </w:tc>
        <w:tc>
          <w:tcPr>
            <w:tcW w:w="1286" w:type="dxa"/>
          </w:tcPr>
          <w:p w14:paraId="0BF1DD16" w14:textId="77777777" w:rsidR="004E0DCB" w:rsidRDefault="00F67F09">
            <w:pPr>
              <w:pStyle w:val="TableText"/>
              <w:jc w:val="right"/>
            </w:pPr>
            <w:r>
              <w:t>6,799,989</w:t>
            </w:r>
          </w:p>
        </w:tc>
        <w:tc>
          <w:tcPr>
            <w:tcW w:w="1292" w:type="dxa"/>
          </w:tcPr>
          <w:p w14:paraId="58BB3E47" w14:textId="77777777" w:rsidR="004E0DCB" w:rsidRDefault="00F67F09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225106DB" w14:textId="77777777" w:rsidR="004E0DCB" w:rsidRDefault="00F67F09">
            <w:pPr>
              <w:pStyle w:val="TableText"/>
              <w:jc w:val="right"/>
            </w:pPr>
            <w:r>
              <w:t>1,486,209</w:t>
            </w:r>
          </w:p>
        </w:tc>
        <w:tc>
          <w:tcPr>
            <w:tcW w:w="1300" w:type="dxa"/>
          </w:tcPr>
          <w:p w14:paraId="1980C9F7" w14:textId="77777777" w:rsidR="004E0DCB" w:rsidRDefault="00F67F09">
            <w:pPr>
              <w:pStyle w:val="TableText"/>
              <w:jc w:val="right"/>
            </w:pPr>
            <w:r>
              <w:t>326,863</w:t>
            </w:r>
          </w:p>
        </w:tc>
        <w:tc>
          <w:tcPr>
            <w:tcW w:w="1599" w:type="dxa"/>
          </w:tcPr>
          <w:p w14:paraId="7CD0CA5D" w14:textId="77777777" w:rsidR="004E0DCB" w:rsidRDefault="00F67F09">
            <w:pPr>
              <w:pStyle w:val="TableText"/>
              <w:jc w:val="right"/>
            </w:pPr>
            <w:r>
              <w:t>20,000,000</w:t>
            </w:r>
          </w:p>
        </w:tc>
      </w:tr>
      <w:tr w:rsidR="004E0DCB" w14:paraId="4BCDCF94" w14:textId="77777777" w:rsidTr="00AF0841">
        <w:tc>
          <w:tcPr>
            <w:tcW w:w="1299" w:type="dxa"/>
          </w:tcPr>
          <w:p w14:paraId="4F32A0E6" w14:textId="77777777" w:rsidR="004E0DCB" w:rsidRDefault="00F67F09">
            <w:pPr>
              <w:pStyle w:val="TableText"/>
            </w:pPr>
            <w:r>
              <w:t>2017–18</w:t>
            </w:r>
          </w:p>
        </w:tc>
        <w:tc>
          <w:tcPr>
            <w:tcW w:w="1326" w:type="dxa"/>
          </w:tcPr>
          <w:p w14:paraId="645366E7" w14:textId="77777777" w:rsidR="004E0DCB" w:rsidRDefault="00F67F09">
            <w:pPr>
              <w:pStyle w:val="TableText"/>
              <w:jc w:val="right"/>
            </w:pPr>
            <w:r>
              <w:t>9,402,099</w:t>
            </w:r>
          </w:p>
        </w:tc>
        <w:tc>
          <w:tcPr>
            <w:tcW w:w="1286" w:type="dxa"/>
          </w:tcPr>
          <w:p w14:paraId="6E9F9377" w14:textId="77777777" w:rsidR="004E0DCB" w:rsidRDefault="00F67F09">
            <w:pPr>
              <w:pStyle w:val="TableText"/>
              <w:jc w:val="right"/>
            </w:pPr>
            <w:r>
              <w:t>6,799,989</w:t>
            </w:r>
          </w:p>
        </w:tc>
        <w:tc>
          <w:tcPr>
            <w:tcW w:w="1292" w:type="dxa"/>
          </w:tcPr>
          <w:p w14:paraId="7AE93D7A" w14:textId="77777777" w:rsidR="004E0DCB" w:rsidRDefault="00F67F09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60E87E42" w14:textId="77777777" w:rsidR="004E0DCB" w:rsidRDefault="00F67F09">
            <w:pPr>
              <w:pStyle w:val="TableText"/>
              <w:jc w:val="right"/>
            </w:pPr>
            <w:r>
              <w:t>1,486,210</w:t>
            </w:r>
          </w:p>
        </w:tc>
        <w:tc>
          <w:tcPr>
            <w:tcW w:w="1300" w:type="dxa"/>
          </w:tcPr>
          <w:p w14:paraId="52409D71" w14:textId="77777777" w:rsidR="004E0DCB" w:rsidRDefault="00F67F09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13E4CE5F" w14:textId="77777777" w:rsidR="004E0DCB" w:rsidRDefault="00F67F09">
            <w:pPr>
              <w:pStyle w:val="TableText"/>
              <w:jc w:val="right"/>
            </w:pPr>
            <w:r>
              <w:t>20,000,000</w:t>
            </w:r>
          </w:p>
        </w:tc>
      </w:tr>
      <w:tr w:rsidR="004E0DCB" w14:paraId="5FE9A6A8" w14:textId="77777777" w:rsidTr="00AF0841">
        <w:tc>
          <w:tcPr>
            <w:tcW w:w="1299" w:type="dxa"/>
          </w:tcPr>
          <w:p w14:paraId="31A13C08" w14:textId="77777777" w:rsidR="004E0DCB" w:rsidRDefault="00F67F09">
            <w:pPr>
              <w:pStyle w:val="TableText"/>
            </w:pPr>
            <w:r>
              <w:t>2018–19</w:t>
            </w:r>
          </w:p>
        </w:tc>
        <w:tc>
          <w:tcPr>
            <w:tcW w:w="1326" w:type="dxa"/>
          </w:tcPr>
          <w:p w14:paraId="1188BB87" w14:textId="77777777" w:rsidR="004E0DCB" w:rsidRDefault="00F67F09">
            <w:pPr>
              <w:pStyle w:val="TableText"/>
              <w:jc w:val="right"/>
            </w:pPr>
            <w:r>
              <w:t>9,402,099</w:t>
            </w:r>
          </w:p>
        </w:tc>
        <w:tc>
          <w:tcPr>
            <w:tcW w:w="1286" w:type="dxa"/>
          </w:tcPr>
          <w:p w14:paraId="458EDB7F" w14:textId="77777777" w:rsidR="004E0DCB" w:rsidRDefault="00F67F09">
            <w:pPr>
              <w:pStyle w:val="TableText"/>
              <w:jc w:val="right"/>
            </w:pPr>
            <w:r>
              <w:t>6,799,989</w:t>
            </w:r>
          </w:p>
        </w:tc>
        <w:tc>
          <w:tcPr>
            <w:tcW w:w="1292" w:type="dxa"/>
          </w:tcPr>
          <w:p w14:paraId="14876C7C" w14:textId="77777777" w:rsidR="004E0DCB" w:rsidRDefault="00F67F09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2A598041" w14:textId="77777777" w:rsidR="004E0DCB" w:rsidRDefault="00F67F09">
            <w:pPr>
              <w:pStyle w:val="TableText"/>
              <w:jc w:val="right"/>
            </w:pPr>
            <w:r>
              <w:t>1,486,210</w:t>
            </w:r>
          </w:p>
        </w:tc>
        <w:tc>
          <w:tcPr>
            <w:tcW w:w="1300" w:type="dxa"/>
          </w:tcPr>
          <w:p w14:paraId="469A01B9" w14:textId="77777777" w:rsidR="004E0DCB" w:rsidRDefault="00F67F09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1D40F452" w14:textId="77777777" w:rsidR="004E0DCB" w:rsidRDefault="00F67F09">
            <w:pPr>
              <w:pStyle w:val="TableText"/>
              <w:jc w:val="right"/>
            </w:pPr>
            <w:r>
              <w:t>20,000,000</w:t>
            </w:r>
          </w:p>
        </w:tc>
      </w:tr>
      <w:tr w:rsidR="004E0DCB" w14:paraId="635EE55C" w14:textId="77777777" w:rsidTr="00AF0841">
        <w:tc>
          <w:tcPr>
            <w:tcW w:w="1299" w:type="dxa"/>
          </w:tcPr>
          <w:p w14:paraId="21AB7611" w14:textId="77777777" w:rsidR="004E0DCB" w:rsidRDefault="00F67F09">
            <w:pPr>
              <w:pStyle w:val="TableText"/>
            </w:pPr>
            <w:r>
              <w:t>2019–20</w:t>
            </w:r>
          </w:p>
        </w:tc>
        <w:tc>
          <w:tcPr>
            <w:tcW w:w="1326" w:type="dxa"/>
          </w:tcPr>
          <w:p w14:paraId="49DD2764" w14:textId="77777777" w:rsidR="004E0DCB" w:rsidRDefault="00F67F09">
            <w:pPr>
              <w:pStyle w:val="TableText"/>
              <w:jc w:val="right"/>
            </w:pPr>
            <w:r>
              <w:t>9,402,100</w:t>
            </w:r>
          </w:p>
        </w:tc>
        <w:tc>
          <w:tcPr>
            <w:tcW w:w="1286" w:type="dxa"/>
          </w:tcPr>
          <w:p w14:paraId="443D1087" w14:textId="77777777" w:rsidR="004E0DCB" w:rsidRDefault="00F67F09">
            <w:pPr>
              <w:pStyle w:val="TableText"/>
              <w:jc w:val="right"/>
            </w:pPr>
            <w:r>
              <w:t>6,799,989</w:t>
            </w:r>
          </w:p>
        </w:tc>
        <w:tc>
          <w:tcPr>
            <w:tcW w:w="1292" w:type="dxa"/>
          </w:tcPr>
          <w:p w14:paraId="75AFE5C7" w14:textId="77777777" w:rsidR="004E0DCB" w:rsidRDefault="00F67F09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780F0238" w14:textId="77777777" w:rsidR="004E0DCB" w:rsidRDefault="00F67F09">
            <w:pPr>
              <w:pStyle w:val="TableText"/>
              <w:jc w:val="right"/>
            </w:pPr>
            <w:r>
              <w:t>1,486,209</w:t>
            </w:r>
          </w:p>
        </w:tc>
        <w:tc>
          <w:tcPr>
            <w:tcW w:w="1300" w:type="dxa"/>
          </w:tcPr>
          <w:p w14:paraId="72D51327" w14:textId="77777777" w:rsidR="004E0DCB" w:rsidRDefault="00F67F09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734CC643" w14:textId="77777777" w:rsidR="004E0DCB" w:rsidRDefault="00F67F09">
            <w:pPr>
              <w:pStyle w:val="TableText"/>
              <w:jc w:val="right"/>
            </w:pPr>
            <w:r>
              <w:t>20,000,000</w:t>
            </w:r>
          </w:p>
        </w:tc>
      </w:tr>
      <w:tr w:rsidR="004E0DCB" w14:paraId="39FCFC43" w14:textId="77777777" w:rsidTr="00AF0841">
        <w:tc>
          <w:tcPr>
            <w:tcW w:w="1299" w:type="dxa"/>
          </w:tcPr>
          <w:p w14:paraId="4A91DF5A" w14:textId="77777777" w:rsidR="004E0DCB" w:rsidRDefault="00F67F09">
            <w:pPr>
              <w:pStyle w:val="TableText"/>
              <w:rPr>
                <w:rStyle w:val="Strong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1326" w:type="dxa"/>
          </w:tcPr>
          <w:p w14:paraId="59324CDF" w14:textId="77777777" w:rsidR="004E0DCB" w:rsidRDefault="00F67F09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82,986,950</w:t>
            </w:r>
          </w:p>
        </w:tc>
        <w:tc>
          <w:tcPr>
            <w:tcW w:w="1286" w:type="dxa"/>
          </w:tcPr>
          <w:p w14:paraId="79BBE44B" w14:textId="77777777" w:rsidR="004E0DCB" w:rsidRDefault="00F67F09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61,737,190</w:t>
            </w:r>
          </w:p>
        </w:tc>
        <w:tc>
          <w:tcPr>
            <w:tcW w:w="1292" w:type="dxa"/>
          </w:tcPr>
          <w:p w14:paraId="383216EB" w14:textId="77777777" w:rsidR="004E0DCB" w:rsidRDefault="00F67F09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13,844,260</w:t>
            </w:r>
          </w:p>
        </w:tc>
        <w:tc>
          <w:tcPr>
            <w:tcW w:w="1276" w:type="dxa"/>
          </w:tcPr>
          <w:p w14:paraId="74A61101" w14:textId="77777777" w:rsidR="004E0DCB" w:rsidRDefault="00F67F09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13,151,737</w:t>
            </w:r>
          </w:p>
        </w:tc>
        <w:tc>
          <w:tcPr>
            <w:tcW w:w="1300" w:type="dxa"/>
          </w:tcPr>
          <w:p w14:paraId="21E75930" w14:textId="77777777" w:rsidR="004E0DCB" w:rsidRDefault="00F67F09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2,279,863</w:t>
            </w:r>
          </w:p>
        </w:tc>
        <w:tc>
          <w:tcPr>
            <w:tcW w:w="1599" w:type="dxa"/>
          </w:tcPr>
          <w:p w14:paraId="435549CC" w14:textId="77777777" w:rsidR="004E0DCB" w:rsidRDefault="00F67F09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174,000,000</w:t>
            </w:r>
          </w:p>
        </w:tc>
      </w:tr>
    </w:tbl>
    <w:p w14:paraId="3966786C" w14:textId="67FBE511" w:rsidR="004E0DCB" w:rsidRDefault="00F67F09">
      <w:pPr>
        <w:pStyle w:val="FigureTableNoteSource"/>
      </w:pPr>
      <w:r>
        <w:rPr>
          <w:rStyle w:val="Strong"/>
        </w:rPr>
        <w:t>a</w:t>
      </w:r>
      <w:r>
        <w:t xml:space="preserve"> Victoria, South Australia and the </w:t>
      </w:r>
      <w:r w:rsidRPr="006F3BE8">
        <w:t>Australian Capital Territory</w:t>
      </w:r>
      <w:r>
        <w:t xml:space="preserve"> received their 2012–13 payment under the superseded 2013 National Partnership Agreement (</w:t>
      </w:r>
      <w:r w:rsidRPr="006F3BE8">
        <w:t>see clause 7</w:t>
      </w:r>
      <w:r>
        <w:t xml:space="preserve">). </w:t>
      </w:r>
      <w:r>
        <w:rPr>
          <w:rStyle w:val="Strong"/>
        </w:rPr>
        <w:t>b</w:t>
      </w:r>
      <w:r>
        <w:t xml:space="preserve"> Payment in recognition of 40% of the supply measure project funding component for 2013–14 for which feasibility and business cases </w:t>
      </w:r>
      <w:r w:rsidR="009270B3">
        <w:t>were</w:t>
      </w:r>
      <w:r>
        <w:t xml:space="preserve"> prepared for consideration under the SDL adjustment mechanism. </w:t>
      </w:r>
      <w:r>
        <w:rPr>
          <w:rStyle w:val="Strong"/>
        </w:rPr>
        <w:t>c</w:t>
      </w:r>
      <w:r>
        <w:t> Payment in recognition of Basin state implementation payment component of 2013–14 financial contribution and the remaining 60% of the business case development funding for 2013–14.</w:t>
      </w:r>
    </w:p>
    <w:p w14:paraId="2B269829" w14:textId="27F3E1BC" w:rsidR="004E0DCB" w:rsidRDefault="00F67F09">
      <w:r w:rsidRPr="0060292B">
        <w:fldChar w:fldCharType="begin"/>
      </w:r>
      <w:r w:rsidRPr="0060292B">
        <w:instrText xml:space="preserve"> REF _Ref519080767 \h  \* MERGEFORMAT </w:instrText>
      </w:r>
      <w:r w:rsidRPr="0060292B">
        <w:fldChar w:fldCharType="separate"/>
      </w:r>
      <w:r w:rsidR="00573A62">
        <w:t>Table 2</w:t>
      </w:r>
      <w:r w:rsidRPr="0060292B">
        <w:fldChar w:fldCharType="end"/>
      </w:r>
      <w:r w:rsidRPr="0060292B">
        <w:t xml:space="preserve"> </w:t>
      </w:r>
      <w:r>
        <w:t>shows actual Commonwealth payments made under the NPA.</w:t>
      </w:r>
    </w:p>
    <w:p w14:paraId="02A816F8" w14:textId="17007CA6" w:rsidR="004E0DCB" w:rsidRDefault="00F67F09">
      <w:pPr>
        <w:pStyle w:val="Caption"/>
      </w:pPr>
      <w:bookmarkStart w:id="2" w:name="_Ref519080767"/>
      <w:r>
        <w:t xml:space="preserve">Table </w:t>
      </w:r>
      <w:r w:rsidR="00E96792">
        <w:rPr>
          <w:noProof/>
        </w:rPr>
        <w:fldChar w:fldCharType="begin"/>
      </w:r>
      <w:r w:rsidR="00E96792">
        <w:rPr>
          <w:noProof/>
        </w:rPr>
        <w:instrText xml:space="preserve"> SEQ Table \* ARABIC </w:instrText>
      </w:r>
      <w:r w:rsidR="00E96792">
        <w:rPr>
          <w:noProof/>
        </w:rPr>
        <w:fldChar w:fldCharType="separate"/>
      </w:r>
      <w:r w:rsidR="00573A62">
        <w:rPr>
          <w:noProof/>
        </w:rPr>
        <w:t>2</w:t>
      </w:r>
      <w:r w:rsidR="00E96792">
        <w:rPr>
          <w:noProof/>
        </w:rPr>
        <w:fldChar w:fldCharType="end"/>
      </w:r>
      <w:bookmarkEnd w:id="2"/>
      <w:r>
        <w:t xml:space="preserve"> Actual Commonwealth financial contributions </w:t>
      </w:r>
      <w:r w:rsidR="00337260">
        <w:t>to Basin states, 2012–13 to 2019–20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1326"/>
        <w:gridCol w:w="1286"/>
        <w:gridCol w:w="1292"/>
        <w:gridCol w:w="1276"/>
        <w:gridCol w:w="1300"/>
        <w:gridCol w:w="1599"/>
      </w:tblGrid>
      <w:tr w:rsidR="004E0DCB" w14:paraId="073D30E7" w14:textId="77777777" w:rsidTr="00AF0841">
        <w:trPr>
          <w:cantSplit/>
          <w:tblHeader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0585D2CF" w14:textId="77777777" w:rsidR="004E0DCB" w:rsidRDefault="00F67F09">
            <w:pPr>
              <w:pStyle w:val="TableHeading"/>
            </w:pPr>
            <w:r>
              <w:t>Year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79F4F0D7" w14:textId="77777777" w:rsidR="004E0DCB" w:rsidRDefault="00F67F09">
            <w:pPr>
              <w:pStyle w:val="TableHeading"/>
              <w:jc w:val="right"/>
            </w:pPr>
            <w:r>
              <w:t>NSW ($)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44C86E4B" w14:textId="77777777" w:rsidR="004E0DCB" w:rsidRDefault="00F67F09">
            <w:pPr>
              <w:pStyle w:val="TableHeading"/>
              <w:jc w:val="right"/>
            </w:pPr>
            <w:r>
              <w:t>Vic. ($)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14:paraId="583C0A16" w14:textId="77777777" w:rsidR="004E0DCB" w:rsidRDefault="00F67F09">
            <w:pPr>
              <w:pStyle w:val="TableHeading"/>
              <w:jc w:val="right"/>
            </w:pPr>
            <w:r>
              <w:t>Qld ($)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5BDBD7" w14:textId="77777777" w:rsidR="004E0DCB" w:rsidRDefault="00F67F09">
            <w:pPr>
              <w:pStyle w:val="TableHeading"/>
              <w:jc w:val="right"/>
            </w:pPr>
            <w:r>
              <w:t>SA ($)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690D8585" w14:textId="77777777" w:rsidR="004E0DCB" w:rsidRDefault="00F67F09">
            <w:pPr>
              <w:pStyle w:val="TableHeading"/>
              <w:jc w:val="right"/>
            </w:pPr>
            <w:r>
              <w:t>ACT ($)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46C824EB" w14:textId="77777777" w:rsidR="004E0DCB" w:rsidRDefault="00F67F09">
            <w:pPr>
              <w:pStyle w:val="TableHeading"/>
              <w:jc w:val="right"/>
            </w:pPr>
            <w:r>
              <w:t>Total ($)</w:t>
            </w:r>
          </w:p>
        </w:tc>
      </w:tr>
      <w:tr w:rsidR="004E0DCB" w14:paraId="56D97E17" w14:textId="77777777" w:rsidTr="00AF0841">
        <w:tc>
          <w:tcPr>
            <w:tcW w:w="1299" w:type="dxa"/>
            <w:tcBorders>
              <w:top w:val="single" w:sz="4" w:space="0" w:color="auto"/>
            </w:tcBorders>
          </w:tcPr>
          <w:p w14:paraId="5189C61D" w14:textId="77777777" w:rsidR="004E0DCB" w:rsidRDefault="00F67F09">
            <w:pPr>
              <w:pStyle w:val="TableText"/>
            </w:pPr>
            <w:r>
              <w:t>2012–13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D822938" w14:textId="77777777" w:rsidR="004E0DCB" w:rsidRDefault="00F67F09">
            <w:pPr>
              <w:pStyle w:val="TableText"/>
              <w:jc w:val="right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75740549" w14:textId="77777777" w:rsidR="004E0DCB" w:rsidRDefault="00F67F09">
            <w:pPr>
              <w:pStyle w:val="TableText"/>
              <w:jc w:val="right"/>
            </w:pPr>
            <w:r>
              <w:t xml:space="preserve">2,039,997 </w:t>
            </w:r>
            <w:r>
              <w:rPr>
                <w:rStyle w:val="Strong"/>
              </w:rPr>
              <w:t>a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7EFBA758" w14:textId="77777777" w:rsidR="004E0DCB" w:rsidRDefault="00F67F09">
            <w:pPr>
              <w:pStyle w:val="TableText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4FD57B" w14:textId="77777777" w:rsidR="004E0DCB" w:rsidRDefault="00F67F09">
            <w:pPr>
              <w:pStyle w:val="TableText"/>
              <w:jc w:val="right"/>
            </w:pPr>
            <w:r>
              <w:t xml:space="preserve">445,863 </w:t>
            </w:r>
            <w:r>
              <w:rPr>
                <w:rStyle w:val="Strong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6CBD828F" w14:textId="77777777" w:rsidR="004E0DCB" w:rsidRDefault="00F67F09">
            <w:pPr>
              <w:pStyle w:val="TableText"/>
              <w:jc w:val="right"/>
            </w:pPr>
            <w:r>
              <w:t xml:space="preserve">98,058 </w:t>
            </w:r>
            <w:r>
              <w:rPr>
                <w:rStyle w:val="Strong"/>
              </w:rPr>
              <w:t>a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3D468E9A" w14:textId="77777777" w:rsidR="004E0DCB" w:rsidRDefault="00F67F09">
            <w:pPr>
              <w:pStyle w:val="TableText"/>
              <w:jc w:val="right"/>
            </w:pPr>
            <w:r>
              <w:t>2,583,918</w:t>
            </w:r>
          </w:p>
        </w:tc>
      </w:tr>
      <w:tr w:rsidR="004E0DCB" w14:paraId="48BB482E" w14:textId="77777777" w:rsidTr="00AF0841">
        <w:tc>
          <w:tcPr>
            <w:tcW w:w="1299" w:type="dxa"/>
            <w:vMerge w:val="restart"/>
          </w:tcPr>
          <w:p w14:paraId="70C71184" w14:textId="77777777" w:rsidR="004E0DCB" w:rsidRDefault="00F67F09">
            <w:pPr>
              <w:pStyle w:val="TableText"/>
            </w:pPr>
            <w:r>
              <w:t>2013–14</w:t>
            </w:r>
          </w:p>
        </w:tc>
        <w:tc>
          <w:tcPr>
            <w:tcW w:w="1326" w:type="dxa"/>
          </w:tcPr>
          <w:p w14:paraId="1FF7FB01" w14:textId="77777777" w:rsidR="004E0DCB" w:rsidRDefault="00F67F09">
            <w:pPr>
              <w:pStyle w:val="TableText"/>
              <w:jc w:val="right"/>
            </w:pPr>
            <w:r>
              <w:t xml:space="preserve">3,481,462 </w:t>
            </w:r>
            <w:r>
              <w:rPr>
                <w:rStyle w:val="Strong"/>
              </w:rPr>
              <w:t>b</w:t>
            </w:r>
          </w:p>
        </w:tc>
        <w:tc>
          <w:tcPr>
            <w:tcW w:w="1286" w:type="dxa"/>
          </w:tcPr>
          <w:p w14:paraId="07650732" w14:textId="77777777" w:rsidR="004E0DCB" w:rsidRDefault="00F67F09">
            <w:pPr>
              <w:pStyle w:val="TableText"/>
              <w:jc w:val="right"/>
            </w:pPr>
            <w:r>
              <w:t xml:space="preserve">2,861,453 </w:t>
            </w:r>
            <w:r>
              <w:rPr>
                <w:rStyle w:val="Strong"/>
              </w:rPr>
              <w:t>b</w:t>
            </w:r>
          </w:p>
        </w:tc>
        <w:tc>
          <w:tcPr>
            <w:tcW w:w="1292" w:type="dxa"/>
          </w:tcPr>
          <w:p w14:paraId="49D1B49F" w14:textId="77777777" w:rsidR="004E0DCB" w:rsidRDefault="00F67F09">
            <w:pPr>
              <w:pStyle w:val="TableText"/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0D0B1F17" w14:textId="77777777" w:rsidR="004E0DCB" w:rsidRDefault="00F67F09">
            <w:pPr>
              <w:pStyle w:val="TableText"/>
              <w:jc w:val="right"/>
            </w:pPr>
            <w:r>
              <w:t xml:space="preserve">557,085 </w:t>
            </w:r>
            <w:r>
              <w:rPr>
                <w:rStyle w:val="Strong"/>
              </w:rPr>
              <w:t>b</w:t>
            </w:r>
          </w:p>
        </w:tc>
        <w:tc>
          <w:tcPr>
            <w:tcW w:w="1300" w:type="dxa"/>
          </w:tcPr>
          <w:p w14:paraId="7EB47B56" w14:textId="77777777" w:rsidR="004E0DCB" w:rsidRDefault="00F67F09">
            <w:pPr>
              <w:pStyle w:val="TableText"/>
              <w:jc w:val="right"/>
            </w:pPr>
            <w:r>
              <w:t>0</w:t>
            </w:r>
          </w:p>
        </w:tc>
        <w:tc>
          <w:tcPr>
            <w:tcW w:w="1599" w:type="dxa"/>
          </w:tcPr>
          <w:p w14:paraId="6CEC851B" w14:textId="77777777" w:rsidR="004E0DCB" w:rsidRDefault="00F67F09">
            <w:pPr>
              <w:pStyle w:val="TableText"/>
              <w:jc w:val="right"/>
            </w:pPr>
            <w:r>
              <w:t>6,900,000</w:t>
            </w:r>
          </w:p>
        </w:tc>
      </w:tr>
      <w:tr w:rsidR="004E0DCB" w14:paraId="5234C3CE" w14:textId="77777777" w:rsidTr="00AF0841">
        <w:tc>
          <w:tcPr>
            <w:tcW w:w="1299" w:type="dxa"/>
            <w:vMerge/>
          </w:tcPr>
          <w:p w14:paraId="53CCF1CA" w14:textId="77777777" w:rsidR="004E0DCB" w:rsidRDefault="004E0DCB">
            <w:pPr>
              <w:pStyle w:val="TableText"/>
              <w:rPr>
                <w:highlight w:val="yellow"/>
              </w:rPr>
            </w:pPr>
          </w:p>
        </w:tc>
        <w:tc>
          <w:tcPr>
            <w:tcW w:w="1326" w:type="dxa"/>
          </w:tcPr>
          <w:p w14:paraId="7864AD7E" w14:textId="77777777" w:rsidR="004E0DCB" w:rsidRDefault="00F67F09">
            <w:pPr>
              <w:pStyle w:val="TableText"/>
              <w:jc w:val="right"/>
            </w:pPr>
            <w:r>
              <w:t xml:space="preserve">11,568,609 </w:t>
            </w:r>
            <w:r>
              <w:rPr>
                <w:rStyle w:val="Strong"/>
              </w:rPr>
              <w:t>c</w:t>
            </w:r>
          </w:p>
        </w:tc>
        <w:tc>
          <w:tcPr>
            <w:tcW w:w="1286" w:type="dxa"/>
          </w:tcPr>
          <w:p w14:paraId="4960B62E" w14:textId="77777777" w:rsidR="004E0DCB" w:rsidRDefault="00F67F09">
            <w:pPr>
              <w:pStyle w:val="TableText"/>
              <w:jc w:val="right"/>
            </w:pPr>
            <w:r>
              <w:t xml:space="preserve">8,882,173 </w:t>
            </w:r>
            <w:r>
              <w:rPr>
                <w:rStyle w:val="Strong"/>
              </w:rPr>
              <w:t>c</w:t>
            </w:r>
          </w:p>
        </w:tc>
        <w:tc>
          <w:tcPr>
            <w:tcW w:w="1292" w:type="dxa"/>
          </w:tcPr>
          <w:p w14:paraId="1E39E2D9" w14:textId="77777777" w:rsidR="004E0DCB" w:rsidRDefault="00F67F09">
            <w:pPr>
              <w:pStyle w:val="TableText"/>
              <w:jc w:val="right"/>
            </w:pPr>
            <w:r>
              <w:t>1,339,767</w:t>
            </w:r>
          </w:p>
        </w:tc>
        <w:tc>
          <w:tcPr>
            <w:tcW w:w="1276" w:type="dxa"/>
          </w:tcPr>
          <w:p w14:paraId="2DC05408" w14:textId="77777777" w:rsidR="004E0DCB" w:rsidRDefault="00F67F09">
            <w:pPr>
              <w:pStyle w:val="TableText"/>
              <w:jc w:val="right"/>
            </w:pPr>
            <w:r>
              <w:t xml:space="preserve">1,838,819 </w:t>
            </w:r>
            <w:r>
              <w:rPr>
                <w:rStyle w:val="Strong"/>
              </w:rPr>
              <w:t>c</w:t>
            </w:r>
          </w:p>
        </w:tc>
        <w:tc>
          <w:tcPr>
            <w:tcW w:w="1300" w:type="dxa"/>
          </w:tcPr>
          <w:p w14:paraId="46648F66" w14:textId="77777777" w:rsidR="004E0DCB" w:rsidRDefault="00F67F09">
            <w:pPr>
              <w:pStyle w:val="TableText"/>
              <w:jc w:val="right"/>
            </w:pPr>
            <w:r>
              <w:t>220,632</w:t>
            </w:r>
          </w:p>
        </w:tc>
        <w:tc>
          <w:tcPr>
            <w:tcW w:w="1599" w:type="dxa"/>
          </w:tcPr>
          <w:p w14:paraId="1ADE0364" w14:textId="77777777" w:rsidR="004E0DCB" w:rsidRDefault="00F67F09">
            <w:pPr>
              <w:pStyle w:val="TableText"/>
              <w:jc w:val="right"/>
            </w:pPr>
            <w:r>
              <w:t>23,850,000</w:t>
            </w:r>
          </w:p>
        </w:tc>
      </w:tr>
      <w:tr w:rsidR="004E0DCB" w14:paraId="6BCB8047" w14:textId="77777777" w:rsidTr="00AF0841">
        <w:tc>
          <w:tcPr>
            <w:tcW w:w="1299" w:type="dxa"/>
          </w:tcPr>
          <w:p w14:paraId="4D48A3AE" w14:textId="77777777" w:rsidR="004E0DCB" w:rsidRDefault="00F67F09">
            <w:pPr>
              <w:pStyle w:val="TableText"/>
            </w:pPr>
            <w:r>
              <w:t>2014–15</w:t>
            </w:r>
          </w:p>
        </w:tc>
        <w:tc>
          <w:tcPr>
            <w:tcW w:w="1326" w:type="dxa"/>
          </w:tcPr>
          <w:p w14:paraId="76BC2EFD" w14:textId="77777777" w:rsidR="004E0DCB" w:rsidRDefault="00F67F09">
            <w:pPr>
              <w:pStyle w:val="TableText"/>
              <w:jc w:val="right"/>
            </w:pPr>
            <w:r>
              <w:t>14,624,291</w:t>
            </w:r>
          </w:p>
        </w:tc>
        <w:tc>
          <w:tcPr>
            <w:tcW w:w="1286" w:type="dxa"/>
          </w:tcPr>
          <w:p w14:paraId="2C638584" w14:textId="77777777" w:rsidR="004E0DCB" w:rsidRDefault="00F67F09">
            <w:pPr>
              <w:pStyle w:val="TableText"/>
              <w:jc w:val="right"/>
            </w:pPr>
            <w:r>
              <w:t>11,092,169</w:t>
            </w:r>
          </w:p>
        </w:tc>
        <w:tc>
          <w:tcPr>
            <w:tcW w:w="1292" w:type="dxa"/>
          </w:tcPr>
          <w:p w14:paraId="0105D81F" w14:textId="77777777" w:rsidR="004E0DCB" w:rsidRDefault="00F67F09">
            <w:pPr>
              <w:pStyle w:val="TableText"/>
              <w:jc w:val="right"/>
            </w:pPr>
            <w:r>
              <w:t>1,984,841</w:t>
            </w:r>
          </w:p>
        </w:tc>
        <w:tc>
          <w:tcPr>
            <w:tcW w:w="1276" w:type="dxa"/>
          </w:tcPr>
          <w:p w14:paraId="5840D575" w14:textId="77777777" w:rsidR="004E0DCB" w:rsidRDefault="00F67F09">
            <w:pPr>
              <w:pStyle w:val="TableText"/>
              <w:jc w:val="right"/>
            </w:pPr>
            <w:r>
              <w:t>2,321,837</w:t>
            </w:r>
          </w:p>
        </w:tc>
        <w:tc>
          <w:tcPr>
            <w:tcW w:w="1300" w:type="dxa"/>
          </w:tcPr>
          <w:p w14:paraId="4A49CC2F" w14:textId="77777777" w:rsidR="004E0DCB" w:rsidRDefault="00F67F09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0C2B14D9" w14:textId="77777777" w:rsidR="004E0DCB" w:rsidRDefault="00F67F09">
            <w:pPr>
              <w:pStyle w:val="TableText"/>
              <w:jc w:val="right"/>
            </w:pPr>
            <w:r>
              <w:t>30,350,000</w:t>
            </w:r>
          </w:p>
        </w:tc>
      </w:tr>
      <w:tr w:rsidR="004E0DCB" w14:paraId="01143075" w14:textId="77777777" w:rsidTr="00AF0841">
        <w:tc>
          <w:tcPr>
            <w:tcW w:w="1299" w:type="dxa"/>
          </w:tcPr>
          <w:p w14:paraId="79050D83" w14:textId="77777777" w:rsidR="004E0DCB" w:rsidRDefault="00F67F09">
            <w:pPr>
              <w:pStyle w:val="TableText"/>
            </w:pPr>
            <w:r>
              <w:t>2015–16</w:t>
            </w:r>
          </w:p>
        </w:tc>
        <w:tc>
          <w:tcPr>
            <w:tcW w:w="1326" w:type="dxa"/>
          </w:tcPr>
          <w:p w14:paraId="51E4662E" w14:textId="77777777" w:rsidR="004E0DCB" w:rsidRDefault="00F67F09">
            <w:pPr>
              <w:pStyle w:val="TableText"/>
              <w:jc w:val="right"/>
            </w:pPr>
            <w:r>
              <w:t>12,883,561</w:t>
            </w:r>
          </w:p>
        </w:tc>
        <w:tc>
          <w:tcPr>
            <w:tcW w:w="1286" w:type="dxa"/>
          </w:tcPr>
          <w:p w14:paraId="4230DBD6" w14:textId="77777777" w:rsidR="004E0DCB" w:rsidRDefault="00F67F09">
            <w:pPr>
              <w:pStyle w:val="TableText"/>
              <w:jc w:val="right"/>
            </w:pPr>
            <w:r>
              <w:t>9,661,442</w:t>
            </w:r>
          </w:p>
        </w:tc>
        <w:tc>
          <w:tcPr>
            <w:tcW w:w="1292" w:type="dxa"/>
          </w:tcPr>
          <w:p w14:paraId="676E7483" w14:textId="77777777" w:rsidR="004E0DCB" w:rsidRDefault="00F67F09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1378A247" w14:textId="77777777" w:rsidR="004E0DCB" w:rsidRDefault="00F67F09">
            <w:pPr>
              <w:pStyle w:val="TableText"/>
              <w:jc w:val="right"/>
            </w:pPr>
            <w:r>
              <w:t>2,043,295</w:t>
            </w:r>
          </w:p>
        </w:tc>
        <w:tc>
          <w:tcPr>
            <w:tcW w:w="1300" w:type="dxa"/>
          </w:tcPr>
          <w:p w14:paraId="15F64BB9" w14:textId="77777777" w:rsidR="004E0DCB" w:rsidRDefault="00F67F09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24C3A817" w14:textId="77777777" w:rsidR="004E0DCB" w:rsidRDefault="00F67F09">
            <w:pPr>
              <w:pStyle w:val="TableText"/>
              <w:jc w:val="right"/>
            </w:pPr>
            <w:r>
              <w:t>26,900,000</w:t>
            </w:r>
          </w:p>
        </w:tc>
      </w:tr>
      <w:tr w:rsidR="004E0DCB" w14:paraId="33302826" w14:textId="77777777" w:rsidTr="00AF0841">
        <w:tc>
          <w:tcPr>
            <w:tcW w:w="1299" w:type="dxa"/>
          </w:tcPr>
          <w:p w14:paraId="7E93B185" w14:textId="77777777" w:rsidR="004E0DCB" w:rsidRDefault="00F67F09">
            <w:pPr>
              <w:pStyle w:val="TableText"/>
            </w:pPr>
            <w:r>
              <w:t>2016–17</w:t>
            </w:r>
          </w:p>
        </w:tc>
        <w:tc>
          <w:tcPr>
            <w:tcW w:w="1326" w:type="dxa"/>
          </w:tcPr>
          <w:p w14:paraId="030E444A" w14:textId="77777777" w:rsidR="004E0DCB" w:rsidRDefault="00F67F09">
            <w:pPr>
              <w:pStyle w:val="TableText"/>
              <w:jc w:val="right"/>
            </w:pPr>
            <w:r>
              <w:t>9,402,099</w:t>
            </w:r>
          </w:p>
        </w:tc>
        <w:tc>
          <w:tcPr>
            <w:tcW w:w="1286" w:type="dxa"/>
          </w:tcPr>
          <w:p w14:paraId="555E8B65" w14:textId="77777777" w:rsidR="004E0DCB" w:rsidRDefault="00F67F09">
            <w:pPr>
              <w:pStyle w:val="TableText"/>
              <w:jc w:val="right"/>
            </w:pPr>
            <w:r>
              <w:t>6,799,989</w:t>
            </w:r>
          </w:p>
        </w:tc>
        <w:tc>
          <w:tcPr>
            <w:tcW w:w="1292" w:type="dxa"/>
          </w:tcPr>
          <w:p w14:paraId="27168A98" w14:textId="77777777" w:rsidR="004E0DCB" w:rsidRDefault="00F67F09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26CFBF17" w14:textId="77777777" w:rsidR="004E0DCB" w:rsidRDefault="00F67F09">
            <w:pPr>
              <w:pStyle w:val="TableText"/>
              <w:jc w:val="right"/>
            </w:pPr>
            <w:r>
              <w:t>1,486,209</w:t>
            </w:r>
          </w:p>
        </w:tc>
        <w:tc>
          <w:tcPr>
            <w:tcW w:w="1300" w:type="dxa"/>
          </w:tcPr>
          <w:p w14:paraId="0AE28EFB" w14:textId="77777777" w:rsidR="004E0DCB" w:rsidRDefault="00F67F09">
            <w:pPr>
              <w:pStyle w:val="TableText"/>
              <w:jc w:val="right"/>
            </w:pPr>
            <w:r>
              <w:t>326,863</w:t>
            </w:r>
          </w:p>
        </w:tc>
        <w:tc>
          <w:tcPr>
            <w:tcW w:w="1599" w:type="dxa"/>
          </w:tcPr>
          <w:p w14:paraId="3093DA73" w14:textId="77777777" w:rsidR="004E0DCB" w:rsidRDefault="00F67F09">
            <w:pPr>
              <w:pStyle w:val="TableText"/>
              <w:jc w:val="right"/>
            </w:pPr>
            <w:r>
              <w:t>20,000,000</w:t>
            </w:r>
          </w:p>
        </w:tc>
      </w:tr>
      <w:tr w:rsidR="004E0DCB" w14:paraId="6B5A1BB3" w14:textId="77777777" w:rsidTr="00AF0841">
        <w:tc>
          <w:tcPr>
            <w:tcW w:w="1299" w:type="dxa"/>
          </w:tcPr>
          <w:p w14:paraId="59810063" w14:textId="77777777" w:rsidR="004E0DCB" w:rsidRDefault="00F67F09">
            <w:pPr>
              <w:pStyle w:val="TableText"/>
            </w:pPr>
            <w:r>
              <w:t>2017–18</w:t>
            </w:r>
          </w:p>
        </w:tc>
        <w:tc>
          <w:tcPr>
            <w:tcW w:w="1326" w:type="dxa"/>
          </w:tcPr>
          <w:p w14:paraId="44F8B3DA" w14:textId="77777777" w:rsidR="004E0DCB" w:rsidRDefault="00F67F09">
            <w:pPr>
              <w:pStyle w:val="TableText"/>
              <w:jc w:val="right"/>
            </w:pPr>
            <w:r>
              <w:t xml:space="preserve">0 </w:t>
            </w:r>
            <w:r>
              <w:rPr>
                <w:rStyle w:val="Strong"/>
              </w:rPr>
              <w:t>d</w:t>
            </w:r>
          </w:p>
        </w:tc>
        <w:tc>
          <w:tcPr>
            <w:tcW w:w="1286" w:type="dxa"/>
          </w:tcPr>
          <w:p w14:paraId="14187C87" w14:textId="77777777" w:rsidR="004E0DCB" w:rsidRDefault="00F67F09">
            <w:pPr>
              <w:pStyle w:val="TableText"/>
              <w:jc w:val="right"/>
            </w:pPr>
            <w:r>
              <w:t>6,799,989</w:t>
            </w:r>
          </w:p>
        </w:tc>
        <w:tc>
          <w:tcPr>
            <w:tcW w:w="1292" w:type="dxa"/>
          </w:tcPr>
          <w:p w14:paraId="0A6E01B7" w14:textId="77777777" w:rsidR="004E0DCB" w:rsidRDefault="00F67F09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39448593" w14:textId="77777777" w:rsidR="004E0DCB" w:rsidRDefault="00F67F09">
            <w:pPr>
              <w:pStyle w:val="TableText"/>
              <w:jc w:val="right"/>
            </w:pPr>
            <w:r>
              <w:t>1,486,210</w:t>
            </w:r>
          </w:p>
        </w:tc>
        <w:tc>
          <w:tcPr>
            <w:tcW w:w="1300" w:type="dxa"/>
          </w:tcPr>
          <w:p w14:paraId="14C525CE" w14:textId="77777777" w:rsidR="004E0DCB" w:rsidRDefault="00F67F09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6A481BA9" w14:textId="77777777" w:rsidR="004E0DCB" w:rsidRDefault="00F67F09">
            <w:pPr>
              <w:pStyle w:val="TableText"/>
              <w:jc w:val="right"/>
            </w:pPr>
            <w:r>
              <w:t>10,597,901</w:t>
            </w:r>
          </w:p>
        </w:tc>
      </w:tr>
      <w:tr w:rsidR="00CD1C69" w14:paraId="0AD47E07" w14:textId="77777777" w:rsidTr="00AF0841">
        <w:tc>
          <w:tcPr>
            <w:tcW w:w="1299" w:type="dxa"/>
          </w:tcPr>
          <w:p w14:paraId="62E378DC" w14:textId="58525E46" w:rsidR="00CD1C69" w:rsidRDefault="00CD1C69">
            <w:pPr>
              <w:pStyle w:val="TableText"/>
            </w:pPr>
            <w:r>
              <w:t>2018</w:t>
            </w:r>
            <w:r w:rsidR="00421056">
              <w:t>–</w:t>
            </w:r>
            <w:r>
              <w:t>19</w:t>
            </w:r>
          </w:p>
        </w:tc>
        <w:tc>
          <w:tcPr>
            <w:tcW w:w="1326" w:type="dxa"/>
          </w:tcPr>
          <w:p w14:paraId="4BA081E3" w14:textId="5EC16E32" w:rsidR="00CD1C69" w:rsidRDefault="00CD1C69">
            <w:pPr>
              <w:pStyle w:val="TableText"/>
              <w:jc w:val="right"/>
            </w:pPr>
            <w:r>
              <w:t>9,402,099</w:t>
            </w:r>
          </w:p>
        </w:tc>
        <w:tc>
          <w:tcPr>
            <w:tcW w:w="1286" w:type="dxa"/>
          </w:tcPr>
          <w:p w14:paraId="67A3C5DE" w14:textId="3EE0B3A7" w:rsidR="00CD1C69" w:rsidRDefault="00CD1C69">
            <w:pPr>
              <w:pStyle w:val="TableText"/>
              <w:jc w:val="right"/>
            </w:pPr>
            <w:r>
              <w:t>6,799,989</w:t>
            </w:r>
          </w:p>
        </w:tc>
        <w:tc>
          <w:tcPr>
            <w:tcW w:w="1292" w:type="dxa"/>
          </w:tcPr>
          <w:p w14:paraId="10EABEC7" w14:textId="6FC6A8A3" w:rsidR="00CD1C69" w:rsidRDefault="00E96792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18A585B4" w14:textId="562CEE4B" w:rsidR="00CD1C69" w:rsidRDefault="00CD1C69">
            <w:pPr>
              <w:pStyle w:val="TableText"/>
              <w:jc w:val="right"/>
            </w:pPr>
            <w:r>
              <w:t>1,486,210</w:t>
            </w:r>
          </w:p>
        </w:tc>
        <w:tc>
          <w:tcPr>
            <w:tcW w:w="1300" w:type="dxa"/>
          </w:tcPr>
          <w:p w14:paraId="210700B7" w14:textId="41DEE73E" w:rsidR="00CD1C69" w:rsidRDefault="00CD1C69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24B33A68" w14:textId="302D4136" w:rsidR="00CD1C69" w:rsidRDefault="00CD1C69">
            <w:pPr>
              <w:pStyle w:val="TableText"/>
              <w:jc w:val="right"/>
            </w:pPr>
            <w:r>
              <w:t>20,000,000</w:t>
            </w:r>
          </w:p>
        </w:tc>
      </w:tr>
      <w:tr w:rsidR="00337260" w14:paraId="568B44E1" w14:textId="77777777" w:rsidTr="00AF0841">
        <w:tc>
          <w:tcPr>
            <w:tcW w:w="1299" w:type="dxa"/>
          </w:tcPr>
          <w:p w14:paraId="353B2F34" w14:textId="6AF78B0E" w:rsidR="00337260" w:rsidRDefault="00337260" w:rsidP="00337260">
            <w:pPr>
              <w:pStyle w:val="TableText"/>
            </w:pPr>
            <w:r>
              <w:t>2019</w:t>
            </w:r>
            <w:r w:rsidR="00421056">
              <w:t>–</w:t>
            </w:r>
            <w:r>
              <w:t>20</w:t>
            </w:r>
          </w:p>
        </w:tc>
        <w:tc>
          <w:tcPr>
            <w:tcW w:w="1326" w:type="dxa"/>
          </w:tcPr>
          <w:p w14:paraId="3A8EBF73" w14:textId="056960D5" w:rsidR="00337260" w:rsidRDefault="00337260" w:rsidP="0049186F">
            <w:pPr>
              <w:pStyle w:val="TableText"/>
              <w:jc w:val="right"/>
            </w:pPr>
            <w:r>
              <w:t>9,402,</w:t>
            </w:r>
            <w:r w:rsidR="0049186F">
              <w:t>100</w:t>
            </w:r>
          </w:p>
        </w:tc>
        <w:tc>
          <w:tcPr>
            <w:tcW w:w="1286" w:type="dxa"/>
          </w:tcPr>
          <w:p w14:paraId="1153654A" w14:textId="0BEF11DB" w:rsidR="00337260" w:rsidRDefault="00337260" w:rsidP="00337260">
            <w:pPr>
              <w:pStyle w:val="TableText"/>
              <w:jc w:val="right"/>
            </w:pPr>
            <w:r>
              <w:t>6,799,989</w:t>
            </w:r>
          </w:p>
        </w:tc>
        <w:tc>
          <w:tcPr>
            <w:tcW w:w="1292" w:type="dxa"/>
          </w:tcPr>
          <w:p w14:paraId="47617870" w14:textId="6D8CC896" w:rsidR="00337260" w:rsidRDefault="00337260" w:rsidP="00337260">
            <w:pPr>
              <w:pStyle w:val="TableText"/>
              <w:jc w:val="right"/>
            </w:pPr>
            <w:r>
              <w:t>1,984,840</w:t>
            </w:r>
          </w:p>
        </w:tc>
        <w:tc>
          <w:tcPr>
            <w:tcW w:w="1276" w:type="dxa"/>
          </w:tcPr>
          <w:p w14:paraId="01562F24" w14:textId="2FF35468" w:rsidR="00337260" w:rsidRDefault="00337260" w:rsidP="0049186F">
            <w:pPr>
              <w:pStyle w:val="TableText"/>
              <w:jc w:val="right"/>
            </w:pPr>
            <w:r>
              <w:t>1,486,20</w:t>
            </w:r>
            <w:r w:rsidR="0049186F">
              <w:t>9</w:t>
            </w:r>
          </w:p>
        </w:tc>
        <w:tc>
          <w:tcPr>
            <w:tcW w:w="1300" w:type="dxa"/>
          </w:tcPr>
          <w:p w14:paraId="625B325F" w14:textId="633E7C1A" w:rsidR="00337260" w:rsidRDefault="00337260" w:rsidP="00337260">
            <w:pPr>
              <w:pStyle w:val="TableText"/>
              <w:jc w:val="right"/>
            </w:pPr>
            <w:r>
              <w:t>326,862</w:t>
            </w:r>
          </w:p>
        </w:tc>
        <w:tc>
          <w:tcPr>
            <w:tcW w:w="1599" w:type="dxa"/>
          </w:tcPr>
          <w:p w14:paraId="5FA84C7D" w14:textId="6F2BEAAD" w:rsidR="00337260" w:rsidRDefault="00337260" w:rsidP="00337260">
            <w:pPr>
              <w:pStyle w:val="TableText"/>
              <w:jc w:val="right"/>
            </w:pPr>
            <w:r>
              <w:t>20,000,000</w:t>
            </w:r>
          </w:p>
        </w:tc>
      </w:tr>
      <w:tr w:rsidR="00337260" w14:paraId="78903659" w14:textId="77777777" w:rsidTr="00AF0841">
        <w:tc>
          <w:tcPr>
            <w:tcW w:w="1299" w:type="dxa"/>
          </w:tcPr>
          <w:p w14:paraId="7AE5A526" w14:textId="77777777" w:rsidR="00337260" w:rsidRDefault="00337260" w:rsidP="00337260">
            <w:pPr>
              <w:pStyle w:val="TableText"/>
              <w:rPr>
                <w:rStyle w:val="Strong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1326" w:type="dxa"/>
          </w:tcPr>
          <w:p w14:paraId="56FD9E36" w14:textId="479590A9" w:rsidR="00337260" w:rsidRPr="006F3BE8" w:rsidRDefault="00DA7889" w:rsidP="0049186F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70</w:t>
            </w:r>
            <w:r w:rsidR="00337260">
              <w:rPr>
                <w:rStyle w:val="Strong"/>
              </w:rPr>
              <w:t>,</w:t>
            </w:r>
            <w:r>
              <w:rPr>
                <w:rStyle w:val="Strong"/>
              </w:rPr>
              <w:t>764</w:t>
            </w:r>
            <w:r w:rsidR="00337260">
              <w:rPr>
                <w:rStyle w:val="Strong"/>
              </w:rPr>
              <w:t>,</w:t>
            </w:r>
            <w:r>
              <w:rPr>
                <w:rStyle w:val="Strong"/>
              </w:rPr>
              <w:t>22</w:t>
            </w:r>
            <w:r w:rsidR="0049186F">
              <w:rPr>
                <w:rStyle w:val="Strong"/>
              </w:rPr>
              <w:t>1</w:t>
            </w:r>
          </w:p>
        </w:tc>
        <w:tc>
          <w:tcPr>
            <w:tcW w:w="1286" w:type="dxa"/>
          </w:tcPr>
          <w:p w14:paraId="5AAB5DC0" w14:textId="587A89F2" w:rsidR="00337260" w:rsidRPr="006F3BE8" w:rsidRDefault="00DA7889" w:rsidP="00337260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61,737,190</w:t>
            </w:r>
          </w:p>
        </w:tc>
        <w:tc>
          <w:tcPr>
            <w:tcW w:w="1292" w:type="dxa"/>
          </w:tcPr>
          <w:p w14:paraId="7B386A4F" w14:textId="70E6AB87" w:rsidR="00337260" w:rsidRPr="006F3BE8" w:rsidRDefault="00DA7889" w:rsidP="00337260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13,248,80</w:t>
            </w:r>
            <w:r w:rsidR="00337260">
              <w:rPr>
                <w:rStyle w:val="Strong"/>
              </w:rPr>
              <w:t>8</w:t>
            </w:r>
          </w:p>
        </w:tc>
        <w:tc>
          <w:tcPr>
            <w:tcW w:w="1276" w:type="dxa"/>
          </w:tcPr>
          <w:p w14:paraId="3E53578E" w14:textId="1F5DE1FA" w:rsidR="00337260" w:rsidRPr="006F3BE8" w:rsidRDefault="00DA7889" w:rsidP="00DA7889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13,151</w:t>
            </w:r>
            <w:r w:rsidR="00337260">
              <w:rPr>
                <w:rStyle w:val="Strong"/>
              </w:rPr>
              <w:t>,</w:t>
            </w:r>
            <w:r>
              <w:rPr>
                <w:rStyle w:val="Strong"/>
              </w:rPr>
              <w:t>73</w:t>
            </w:r>
            <w:r w:rsidR="0049186F">
              <w:rPr>
                <w:rStyle w:val="Strong"/>
              </w:rPr>
              <w:t>7</w:t>
            </w:r>
          </w:p>
        </w:tc>
        <w:tc>
          <w:tcPr>
            <w:tcW w:w="1300" w:type="dxa"/>
          </w:tcPr>
          <w:p w14:paraId="1E52A9FF" w14:textId="5D282192" w:rsidR="00337260" w:rsidRPr="006F3BE8" w:rsidRDefault="00DA7889" w:rsidP="00337260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2,279,863</w:t>
            </w:r>
          </w:p>
        </w:tc>
        <w:tc>
          <w:tcPr>
            <w:tcW w:w="1599" w:type="dxa"/>
          </w:tcPr>
          <w:p w14:paraId="64505315" w14:textId="69FF43AB" w:rsidR="00337260" w:rsidRPr="006F3BE8" w:rsidRDefault="00DA7889" w:rsidP="00337260">
            <w:pPr>
              <w:pStyle w:val="TableText"/>
              <w:jc w:val="right"/>
              <w:rPr>
                <w:rStyle w:val="Strong"/>
              </w:rPr>
            </w:pPr>
            <w:r>
              <w:rPr>
                <w:rStyle w:val="Strong"/>
              </w:rPr>
              <w:t>16</w:t>
            </w:r>
            <w:r w:rsidR="00337260">
              <w:rPr>
                <w:rStyle w:val="Strong"/>
              </w:rPr>
              <w:t>1,181,819</w:t>
            </w:r>
          </w:p>
        </w:tc>
      </w:tr>
    </w:tbl>
    <w:p w14:paraId="4F81FFD9" w14:textId="51D860B7" w:rsidR="004E0DCB" w:rsidRDefault="00F67F09">
      <w:pPr>
        <w:pStyle w:val="FigureTableNoteSource"/>
      </w:pPr>
      <w:r>
        <w:rPr>
          <w:rStyle w:val="Strong"/>
        </w:rPr>
        <w:t>a</w:t>
      </w:r>
      <w:r>
        <w:t xml:space="preserve"> Victoria, South Australia and the </w:t>
      </w:r>
      <w:r w:rsidR="000679F3">
        <w:t>ACT</w:t>
      </w:r>
      <w:r>
        <w:t xml:space="preserve"> received their 2012–13 payment under the superseded 2013 National Partnership </w:t>
      </w:r>
      <w:r w:rsidRPr="00D86303">
        <w:t>Agreement</w:t>
      </w:r>
      <w:r w:rsidR="00EE4526" w:rsidRPr="00D86303">
        <w:t xml:space="preserve"> (see clause 7)</w:t>
      </w:r>
      <w:r w:rsidRPr="00D86303">
        <w:t>.</w:t>
      </w:r>
      <w:r>
        <w:t xml:space="preserve"> </w:t>
      </w:r>
      <w:r>
        <w:rPr>
          <w:rStyle w:val="Strong"/>
        </w:rPr>
        <w:t>b</w:t>
      </w:r>
      <w:r>
        <w:t xml:space="preserve"> Payment in recognition of 40% of the supply measure project funding component for 2013–14 for which feasibility and business cases were prepared for consideration under the SDL adjustment mechanism. </w:t>
      </w:r>
      <w:r>
        <w:rPr>
          <w:rStyle w:val="Strong"/>
        </w:rPr>
        <w:t>c</w:t>
      </w:r>
      <w:r>
        <w:t xml:space="preserve"> Payment in recognition of Basin state implementation payment component of 2013–14 financial contribution and the remaining 60% of the business case development funding for 2013–14. </w:t>
      </w:r>
      <w:r>
        <w:rPr>
          <w:rStyle w:val="Strong"/>
        </w:rPr>
        <w:t>d</w:t>
      </w:r>
      <w:r w:rsidR="00323EE3">
        <w:t> New South Wales</w:t>
      </w:r>
      <w:r>
        <w:t xml:space="preserve"> did not receive a payment in 2017–18.</w:t>
      </w:r>
    </w:p>
    <w:sectPr w:rsidR="004E0DCB" w:rsidSect="00CD1C69">
      <w:pgSz w:w="11906" w:h="16838"/>
      <w:pgMar w:top="1361" w:right="1247" w:bottom="1361" w:left="1247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2AAC" w14:textId="77777777" w:rsidR="004E0DCB" w:rsidRDefault="00F67F09">
      <w:r>
        <w:separator/>
      </w:r>
    </w:p>
    <w:p w14:paraId="6435BB0F" w14:textId="77777777" w:rsidR="004E0DCB" w:rsidRDefault="004E0DCB"/>
    <w:p w14:paraId="7C562B17" w14:textId="77777777" w:rsidR="004E0DCB" w:rsidRDefault="004E0DCB"/>
  </w:endnote>
  <w:endnote w:type="continuationSeparator" w:id="0">
    <w:p w14:paraId="31776341" w14:textId="77777777" w:rsidR="004E0DCB" w:rsidRDefault="00F67F09">
      <w:r>
        <w:continuationSeparator/>
      </w:r>
    </w:p>
    <w:p w14:paraId="4C278649" w14:textId="77777777" w:rsidR="004E0DCB" w:rsidRDefault="004E0DCB"/>
    <w:p w14:paraId="235777E9" w14:textId="77777777" w:rsidR="004E0DCB" w:rsidRDefault="004E0DCB"/>
  </w:endnote>
  <w:endnote w:type="continuationNotice" w:id="1">
    <w:p w14:paraId="2C5B7DC4" w14:textId="77777777" w:rsidR="004E0DCB" w:rsidRDefault="004E0DCB">
      <w:pPr>
        <w:pStyle w:val="Footer"/>
      </w:pPr>
    </w:p>
    <w:p w14:paraId="4CF49441" w14:textId="77777777" w:rsidR="004E0DCB" w:rsidRDefault="004E0DCB"/>
    <w:p w14:paraId="5DE86976" w14:textId="77777777" w:rsidR="004E0DCB" w:rsidRDefault="004E0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FF668" w14:textId="7833C27B" w:rsidR="004E0DCB" w:rsidRDefault="00F67F09">
    <w:pPr>
      <w:pStyle w:val="Footer"/>
    </w:pPr>
    <w:r>
      <w:t>Department of Agriculture</w:t>
    </w:r>
    <w:r w:rsidR="00337260">
      <w:t>, Water and the Environment</w:t>
    </w:r>
  </w:p>
  <w:p w14:paraId="702CAF0C" w14:textId="77777777" w:rsidR="004E0DCB" w:rsidRDefault="00F67F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73A6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39703" w14:textId="77777777" w:rsidR="004E0DCB" w:rsidRDefault="00F67F09">
      <w:r>
        <w:separator/>
      </w:r>
    </w:p>
    <w:p w14:paraId="6AB50B9B" w14:textId="77777777" w:rsidR="004E0DCB" w:rsidRDefault="004E0DCB"/>
    <w:p w14:paraId="3E8B1805" w14:textId="77777777" w:rsidR="004E0DCB" w:rsidRDefault="004E0DCB"/>
  </w:footnote>
  <w:footnote w:type="continuationSeparator" w:id="0">
    <w:p w14:paraId="2564869B" w14:textId="77777777" w:rsidR="004E0DCB" w:rsidRDefault="00F67F09">
      <w:r>
        <w:continuationSeparator/>
      </w:r>
    </w:p>
    <w:p w14:paraId="1C8CA8AD" w14:textId="77777777" w:rsidR="004E0DCB" w:rsidRDefault="004E0DCB"/>
    <w:p w14:paraId="5B2FA972" w14:textId="77777777" w:rsidR="004E0DCB" w:rsidRDefault="004E0DCB"/>
  </w:footnote>
  <w:footnote w:type="continuationNotice" w:id="1">
    <w:p w14:paraId="48923167" w14:textId="77777777" w:rsidR="004E0DCB" w:rsidRDefault="004E0DCB">
      <w:pPr>
        <w:pStyle w:val="Footer"/>
      </w:pPr>
    </w:p>
    <w:p w14:paraId="2B7E1044" w14:textId="77777777" w:rsidR="004E0DCB" w:rsidRDefault="004E0DCB"/>
    <w:p w14:paraId="1E42BDFF" w14:textId="77777777" w:rsidR="004E0DCB" w:rsidRDefault="004E0D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45882" w14:textId="77777777" w:rsidR="004E0DCB" w:rsidRDefault="00F67F09">
    <w:pPr>
      <w:pStyle w:val="Header"/>
    </w:pPr>
    <w:r>
      <w:t>NPA on Implementing Water Reform in the Murray–Darling Basin: Commonwealth payments to Basin states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9E79" w14:textId="6D1E47DC" w:rsidR="004E0DCB" w:rsidRDefault="007074BD" w:rsidP="007074BD">
    <w:pPr>
      <w:pStyle w:val="Header"/>
      <w:jc w:val="left"/>
    </w:pPr>
    <w:r>
      <w:rPr>
        <w:noProof/>
        <w:lang w:eastAsia="en-AU"/>
      </w:rPr>
      <w:drawing>
        <wp:inline distT="0" distB="0" distL="0" distR="0" wp14:anchorId="3DB7B1AB" wp14:editId="4B27B294">
          <wp:extent cx="2281338" cy="684286"/>
          <wp:effectExtent l="0" t="0" r="5080" b="1905"/>
          <wp:docPr id="3" name="Picture 3" descr="Australian Government logo for the Department of Agriculture, Water and the Enviro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link.agdaff.gov.au/StaffServices/Comms/CreateContent/Branding/Logos/Departmental%20Logos/DAWE/DAWE_Inline_BLAC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255" cy="71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6C2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F5CC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28D5"/>
    <w:multiLevelType w:val="multilevel"/>
    <w:tmpl w:val="BE78A4F8"/>
    <w:numStyleLink w:val="Numberlist"/>
  </w:abstractNum>
  <w:abstractNum w:abstractNumId="12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103637"/>
    <w:multiLevelType w:val="multilevel"/>
    <w:tmpl w:val="BE78A4F8"/>
    <w:numStyleLink w:val="Numberlist"/>
  </w:abstractNum>
  <w:abstractNum w:abstractNumId="14" w15:restartNumberingAfterBreak="0">
    <w:nsid w:val="394A15FE"/>
    <w:multiLevelType w:val="multilevel"/>
    <w:tmpl w:val="F36C17E8"/>
    <w:numStyleLink w:val="Headinglist"/>
  </w:abstractNum>
  <w:abstractNum w:abstractNumId="15" w15:restartNumberingAfterBreak="0">
    <w:nsid w:val="414F4729"/>
    <w:multiLevelType w:val="multilevel"/>
    <w:tmpl w:val="A0241B28"/>
    <w:numStyleLink w:val="List1"/>
  </w:abstractNum>
  <w:abstractNum w:abstractNumId="16" w15:restartNumberingAfterBreak="0">
    <w:nsid w:val="486800B4"/>
    <w:multiLevelType w:val="multilevel"/>
    <w:tmpl w:val="A0241B28"/>
    <w:numStyleLink w:val="List1"/>
  </w:abstractNum>
  <w:abstractNum w:abstractNumId="17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9DC"/>
    <w:multiLevelType w:val="multilevel"/>
    <w:tmpl w:val="BE78A4F8"/>
    <w:numStyleLink w:val="Numberlist"/>
  </w:abstractNum>
  <w:abstractNum w:abstractNumId="1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41859"/>
    <w:multiLevelType w:val="hybridMultilevel"/>
    <w:tmpl w:val="953E0322"/>
    <w:lvl w:ilvl="0" w:tplc="E682CC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A0241B28"/>
    <w:numStyleLink w:val="List1"/>
  </w:abstractNum>
  <w:num w:numId="1">
    <w:abstractNumId w:val="6"/>
  </w:num>
  <w:num w:numId="2">
    <w:abstractNumId w:val="16"/>
  </w:num>
  <w:num w:numId="3">
    <w:abstractNumId w:val="17"/>
  </w:num>
  <w:num w:numId="4">
    <w:abstractNumId w:val="9"/>
  </w:num>
  <w:num w:numId="5">
    <w:abstractNumId w:val="23"/>
  </w:num>
  <w:num w:numId="6">
    <w:abstractNumId w:val="24"/>
  </w:num>
  <w:num w:numId="7">
    <w:abstractNumId w:val="7"/>
  </w:num>
  <w:num w:numId="8">
    <w:abstractNumId w:val="12"/>
  </w:num>
  <w:num w:numId="9">
    <w:abstractNumId w:val="14"/>
  </w:num>
  <w:num w:numId="10">
    <w:abstractNumId w:val="7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2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3"/>
  </w:num>
  <w:num w:numId="22">
    <w:abstractNumId w:val="18"/>
  </w:num>
  <w:num w:numId="23">
    <w:abstractNumId w:val="26"/>
  </w:num>
  <w:num w:numId="24">
    <w:abstractNumId w:val="11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9"/>
  </w:num>
  <w:num w:numId="29">
    <w:abstractNumId w:val="22"/>
  </w:num>
  <w:num w:numId="30">
    <w:abstractNumId w:val="8"/>
  </w:num>
  <w:num w:numId="3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CB"/>
    <w:rsid w:val="000679F3"/>
    <w:rsid w:val="001D7654"/>
    <w:rsid w:val="00251FB8"/>
    <w:rsid w:val="00303E6D"/>
    <w:rsid w:val="003147CD"/>
    <w:rsid w:val="00323EE3"/>
    <w:rsid w:val="00337260"/>
    <w:rsid w:val="00355577"/>
    <w:rsid w:val="00421056"/>
    <w:rsid w:val="0049186F"/>
    <w:rsid w:val="004E0DCB"/>
    <w:rsid w:val="0050732D"/>
    <w:rsid w:val="00573A62"/>
    <w:rsid w:val="005815EA"/>
    <w:rsid w:val="0060292B"/>
    <w:rsid w:val="00623D3B"/>
    <w:rsid w:val="0069754F"/>
    <w:rsid w:val="006A43B8"/>
    <w:rsid w:val="006F3BE8"/>
    <w:rsid w:val="007074BD"/>
    <w:rsid w:val="007840F0"/>
    <w:rsid w:val="007D621D"/>
    <w:rsid w:val="008A0EAA"/>
    <w:rsid w:val="009270B3"/>
    <w:rsid w:val="009A6D5A"/>
    <w:rsid w:val="009F3175"/>
    <w:rsid w:val="00A7632E"/>
    <w:rsid w:val="00AB4D3E"/>
    <w:rsid w:val="00AF0841"/>
    <w:rsid w:val="00B850DD"/>
    <w:rsid w:val="00C1094A"/>
    <w:rsid w:val="00CD1C69"/>
    <w:rsid w:val="00D07EA7"/>
    <w:rsid w:val="00D86303"/>
    <w:rsid w:val="00DA7889"/>
    <w:rsid w:val="00DF5C01"/>
    <w:rsid w:val="00E400FC"/>
    <w:rsid w:val="00E96792"/>
    <w:rsid w:val="00EE4526"/>
    <w:rsid w:val="00F67F09"/>
    <w:rsid w:val="00F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E2E036F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6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pageBreakBefore/>
      <w:numPr>
        <w:numId w:val="9"/>
      </w:numPr>
      <w:spacing w:after="240" w:line="240" w:lineRule="auto"/>
      <w:outlineLvl w:val="1"/>
    </w:pPr>
    <w:rPr>
      <w:rFonts w:ascii="Calibri" w:eastAsiaTheme="minorEastAsia" w:hAnsi="Calibri"/>
      <w:bCs/>
      <w:color w:val="000000"/>
      <w:sz w:val="50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6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5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8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8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pyright@agriculture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legalco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agriculture.gov.au/" TargetMode="External"/><Relationship Id="rId20" Type="http://schemas.openxmlformats.org/officeDocument/2006/relationships/hyperlink" Target="http://www.federalfinancialrelations.gov.au/content/intergovernmental_agreement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griculture.gov.au/water/mdb/npa-water-reform-mdb-milestone-repor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5BA58B6C6B4A80DA1D405394CE64" ma:contentTypeVersion="4" ma:contentTypeDescription="Create a new document." ma:contentTypeScope="" ma:versionID="0d70c3538132979bfe1a1a580c7583d7">
  <xsd:schema xmlns:xsd="http://www.w3.org/2001/XMLSchema" xmlns:xs="http://www.w3.org/2001/XMLSchema" xmlns:p="http://schemas.microsoft.com/office/2006/metadata/properties" xmlns:ns1="http://schemas.microsoft.com/sharepoint/v3" xmlns:ns2="2ddb80b2-236e-4dc7-a0e1-73453f2b7b8e" xmlns:ns3="d195ef9c-78ce-4568-a8c4-4efcea3eb241" targetNamespace="http://schemas.microsoft.com/office/2006/metadata/properties" ma:root="true" ma:fieldsID="17d5ee8135028f9e96a65079e3fe2a15" ns1:_="" ns2:_="" ns3:_="">
    <xsd:import namespace="http://schemas.microsoft.com/sharepoint/v3"/>
    <xsd:import namespace="2ddb80b2-236e-4dc7-a0e1-73453f2b7b8e"/>
    <xsd:import namespace="d195ef9c-78ce-4568-a8c4-4efcea3eb24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M8" minOccurs="0"/>
                <xsd:element ref="ns3:Filed_x0020_in_x0020_RM8" minOccurs="0"/>
                <xsd:element ref="ns3:RM8_x0020_Location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b80b2-236e-4dc7-a0e1-73453f2b7b8e" elementFormDefault="qualified">
    <xsd:import namespace="http://schemas.microsoft.com/office/2006/documentManagement/types"/>
    <xsd:import namespace="http://schemas.microsoft.com/office/infopath/2007/PartnerControls"/>
    <xsd:element name="RM8" ma:index="10" nillable="true" ma:displayName="RM8" ma:default="1" ma:internalName="_x0052_M8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5ef9c-78ce-4568-a8c4-4efcea3eb241" elementFormDefault="qualified">
    <xsd:import namespace="http://schemas.microsoft.com/office/2006/documentManagement/types"/>
    <xsd:import namespace="http://schemas.microsoft.com/office/infopath/2007/PartnerControls"/>
    <xsd:element name="Filed_x0020_in_x0020_RM8" ma:index="11" nillable="true" ma:displayName="Filed in RM8" ma:default="0" ma:internalName="Filed_x0020_in_x0020_RM8">
      <xsd:simpleType>
        <xsd:restriction base="dms:Boolean"/>
      </xsd:simpleType>
    </xsd:element>
    <xsd:element name="RM8_x0020_Location_x0020_Link" ma:index="12" nillable="true" ma:displayName="RM8 Location Link" ma:format="Hyperlink" ma:internalName="RM8_x0020_Location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M8 xmlns="2ddb80b2-236e-4dc7-a0e1-73453f2b7b8e">true</RM8>
    <Filed_x0020_in_x0020_RM8 xmlns="d195ef9c-78ce-4568-a8c4-4efcea3eb241">false</Filed_x0020_in_x0020_RM8>
    <RM8_x0020_Location_x0020_Link xmlns="d195ef9c-78ce-4568-a8c4-4efcea3eb241">
      <Url xsi:nil="true"/>
      <Description xsi:nil="true"/>
    </RM8_x0020_Location_x0020_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9B4E2-8A94-4836-9B5B-DCDC3661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db80b2-236e-4dc7-a0e1-73453f2b7b8e"/>
    <ds:schemaRef ds:uri="d195ef9c-78ce-4568-a8c4-4efcea3e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documentManagement/types"/>
    <ds:schemaRef ds:uri="http://schemas.microsoft.com/sharepoint/v3"/>
    <ds:schemaRef ds:uri="http://purl.org/dc/elements/1.1/"/>
    <ds:schemaRef ds:uri="d195ef9c-78ce-4568-a8c4-4efcea3eb24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ddb80b2-236e-4dc7-a0e1-73453f2b7b8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79CDA6-6738-4EF9-807C-62A5CC7E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58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Partnership Agreement on Implementing Water Reform in the Murray–Darling Basin: Commonwealth payments to Basin states</vt:lpstr>
    </vt:vector>
  </TitlesOfParts>
  <Company>Department of Agriculture Fisheries &amp; Forestry</Company>
  <LinksUpToDate>false</LinksUpToDate>
  <CharactersWithSpaces>5580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Partnership Agreement on Implementing Water Reform in the Murray–Darling Basin: Commonwealth payments to Basin states</dc:title>
  <dc:creator>Department of Agriculture, Water and the Environment</dc:creator>
  <cp:lastModifiedBy>Cramond, Kate</cp:lastModifiedBy>
  <cp:revision>4</cp:revision>
  <cp:lastPrinted>2020-09-29T02:32:00Z</cp:lastPrinted>
  <dcterms:created xsi:type="dcterms:W3CDTF">2020-08-07T04:01:00Z</dcterms:created>
  <dcterms:modified xsi:type="dcterms:W3CDTF">2020-09-29T02:33:00Z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0x010100F67F5BA58B6C6B4A80DA1D405394CE64</vt:lpwstr>
  </property>
</Properties>
</file>