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05F94" w:rsidRDefault="004379F6" w:rsidP="006E5682">
      <w:pPr>
        <w:rPr>
          <w:b/>
          <w:sz w:val="28"/>
          <w:szCs w:val="28"/>
        </w:rPr>
      </w:pPr>
      <w:r w:rsidRPr="001C11BC">
        <w:rPr>
          <w:b/>
          <w:sz w:val="28"/>
          <w:szCs w:val="28"/>
        </w:rPr>
        <w:t>Summary of proposed rules</w:t>
      </w:r>
    </w:p>
    <w:p w:rsidR="003505F5" w:rsidRPr="001C11BC" w:rsidRDefault="003505F5" w:rsidP="006E5682">
      <w:pPr>
        <w:rPr>
          <w:b/>
          <w:sz w:val="28"/>
          <w:szCs w:val="28"/>
        </w:rPr>
      </w:pPr>
    </w:p>
    <w:tbl>
      <w:tblPr>
        <w:tblStyle w:val="TableGrid"/>
        <w:tblW w:w="0" w:type="auto"/>
        <w:tblLook w:val="04A0" w:firstRow="1" w:lastRow="0" w:firstColumn="1" w:lastColumn="0" w:noHBand="0" w:noVBand="1"/>
      </w:tblPr>
      <w:tblGrid>
        <w:gridCol w:w="13948"/>
      </w:tblGrid>
      <w:tr w:rsidR="004379F6" w:rsidTr="004379F6">
        <w:tc>
          <w:tcPr>
            <w:tcW w:w="13948" w:type="dxa"/>
          </w:tcPr>
          <w:p w:rsidR="004379F6" w:rsidRDefault="004379F6" w:rsidP="006E5682">
            <w:pPr>
              <w:rPr>
                <w:sz w:val="28"/>
                <w:szCs w:val="28"/>
              </w:rPr>
            </w:pPr>
            <w:r w:rsidRPr="00A44BD1">
              <w:rPr>
                <w:b/>
              </w:rPr>
              <w:t xml:space="preserve">ACCC rule advices </w:t>
            </w:r>
            <w:r w:rsidR="00143360">
              <w:rPr>
                <w:b/>
              </w:rPr>
              <w:t xml:space="preserve">to be implemented through the </w:t>
            </w:r>
            <w:r w:rsidR="00143360" w:rsidRPr="00143360">
              <w:rPr>
                <w:b/>
                <w:i/>
              </w:rPr>
              <w:t>Water Charge Amendment Rules 2019</w:t>
            </w:r>
          </w:p>
        </w:tc>
      </w:tr>
      <w:tr w:rsidR="004379F6" w:rsidTr="004379F6">
        <w:tc>
          <w:tcPr>
            <w:tcW w:w="13948" w:type="dxa"/>
          </w:tcPr>
          <w:p w:rsidR="004379F6" w:rsidRDefault="004379F6" w:rsidP="003505F5">
            <w:pPr>
              <w:rPr>
                <w:sz w:val="28"/>
                <w:szCs w:val="28"/>
              </w:rPr>
            </w:pPr>
            <w:r w:rsidRPr="00C44674">
              <w:rPr>
                <w:rFonts w:asciiTheme="minorHAnsi" w:hAnsiTheme="minorHAnsi"/>
              </w:rPr>
              <w:t xml:space="preserve">4-A and 4-B: combine three sets of rules into one </w:t>
            </w:r>
            <w:r>
              <w:rPr>
                <w:rFonts w:asciiTheme="minorHAnsi" w:hAnsiTheme="minorHAnsi"/>
              </w:rPr>
              <w:t xml:space="preserve">and </w:t>
            </w:r>
            <w:r w:rsidRPr="00C44674">
              <w:rPr>
                <w:rFonts w:asciiTheme="minorHAnsi" w:hAnsiTheme="minorHAnsi"/>
              </w:rPr>
              <w:t>define terms consistently.</w:t>
            </w:r>
            <w:r w:rsidR="003505F5">
              <w:rPr>
                <w:rFonts w:asciiTheme="minorHAnsi" w:hAnsiTheme="minorHAnsi"/>
              </w:rPr>
              <w:t xml:space="preserve"> </w:t>
            </w:r>
            <w:r>
              <w:rPr>
                <w:rFonts w:asciiTheme="minorHAnsi" w:hAnsiTheme="minorHAnsi"/>
              </w:rPr>
              <w:t xml:space="preserve">This </w:t>
            </w:r>
            <w:r w:rsidRPr="00E81BA1">
              <w:rPr>
                <w:rFonts w:asciiTheme="minorHAnsi" w:hAnsiTheme="minorHAnsi"/>
              </w:rPr>
              <w:t xml:space="preserve">will </w:t>
            </w:r>
            <w:r>
              <w:rPr>
                <w:rFonts w:asciiTheme="minorHAnsi" w:hAnsiTheme="minorHAnsi"/>
              </w:rPr>
              <w:t xml:space="preserve">streamline requirements for operators and </w:t>
            </w:r>
            <w:r w:rsidRPr="00E81BA1">
              <w:rPr>
                <w:rFonts w:asciiTheme="minorHAnsi" w:hAnsiTheme="minorHAnsi"/>
              </w:rPr>
              <w:t xml:space="preserve">implement the principle of ‘one expression, one meaning’, rather than defining ‘regulated charge’ differently in the different sets of rules.    </w:t>
            </w:r>
          </w:p>
        </w:tc>
      </w:tr>
      <w:tr w:rsidR="004379F6" w:rsidTr="004379F6">
        <w:tc>
          <w:tcPr>
            <w:tcW w:w="13948" w:type="dxa"/>
          </w:tcPr>
          <w:p w:rsidR="004379F6" w:rsidRDefault="004379F6" w:rsidP="003505F5">
            <w:pPr>
              <w:rPr>
                <w:sz w:val="28"/>
                <w:szCs w:val="28"/>
              </w:rPr>
            </w:pPr>
            <w:r w:rsidRPr="00C44674">
              <w:rPr>
                <w:rFonts w:asciiTheme="minorHAnsi" w:hAnsiTheme="minorHAnsi"/>
              </w:rPr>
              <w:t>5-E to 5-K: enhanced Schedule of Charge requirements.</w:t>
            </w:r>
            <w:r w:rsidR="003505F5">
              <w:rPr>
                <w:rFonts w:asciiTheme="minorHAnsi" w:hAnsiTheme="minorHAnsi"/>
              </w:rPr>
              <w:t xml:space="preserve"> </w:t>
            </w:r>
            <w:r w:rsidRPr="001A36B3">
              <w:rPr>
                <w:rFonts w:asciiTheme="minorHAnsi" w:hAnsiTheme="minorHAnsi"/>
              </w:rPr>
              <w:t>This will provide a standardised approach to the Schedule of Charges</w:t>
            </w:r>
            <w:r>
              <w:rPr>
                <w:rFonts w:asciiTheme="minorHAnsi" w:hAnsiTheme="minorHAnsi"/>
              </w:rPr>
              <w:t xml:space="preserve">, and </w:t>
            </w:r>
            <w:r w:rsidRPr="001A36B3">
              <w:rPr>
                <w:rFonts w:asciiTheme="minorHAnsi" w:hAnsiTheme="minorHAnsi"/>
              </w:rPr>
              <w:t>greater transparency for customers</w:t>
            </w:r>
            <w:r>
              <w:rPr>
                <w:rFonts w:asciiTheme="minorHAnsi" w:hAnsiTheme="minorHAnsi"/>
              </w:rPr>
              <w:t xml:space="preserve">, ensuring they know what they have to pay and why, and can engage with operators directly to resolve any disputes. </w:t>
            </w:r>
            <w:r w:rsidRPr="001A36B3">
              <w:rPr>
                <w:rFonts w:asciiTheme="minorHAnsi" w:hAnsiTheme="minorHAnsi"/>
              </w:rPr>
              <w:t xml:space="preserve"> </w:t>
            </w:r>
          </w:p>
        </w:tc>
      </w:tr>
      <w:tr w:rsidR="004379F6" w:rsidTr="004379F6">
        <w:tc>
          <w:tcPr>
            <w:tcW w:w="13948" w:type="dxa"/>
          </w:tcPr>
          <w:p w:rsidR="004379F6" w:rsidRDefault="004379F6" w:rsidP="00994DA8">
            <w:pPr>
              <w:rPr>
                <w:sz w:val="28"/>
                <w:szCs w:val="28"/>
              </w:rPr>
            </w:pPr>
            <w:r w:rsidRPr="00C44674">
              <w:rPr>
                <w:rFonts w:asciiTheme="minorHAnsi" w:hAnsiTheme="minorHAnsi"/>
              </w:rPr>
              <w:t xml:space="preserve">5-M to 5-R: hand back </w:t>
            </w:r>
            <w:r w:rsidR="008D2B5E">
              <w:rPr>
                <w:rFonts w:asciiTheme="minorHAnsi" w:hAnsiTheme="minorHAnsi"/>
              </w:rPr>
              <w:t xml:space="preserve">most </w:t>
            </w:r>
            <w:r w:rsidRPr="00C44674">
              <w:rPr>
                <w:rFonts w:asciiTheme="minorHAnsi" w:hAnsiTheme="minorHAnsi"/>
              </w:rPr>
              <w:t xml:space="preserve">regulatory responsibility for </w:t>
            </w:r>
            <w:r w:rsidR="008D2B5E">
              <w:rPr>
                <w:rFonts w:asciiTheme="minorHAnsi" w:hAnsiTheme="minorHAnsi"/>
              </w:rPr>
              <w:t xml:space="preserve">the </w:t>
            </w:r>
            <w:r w:rsidRPr="00C44674">
              <w:rPr>
                <w:rFonts w:asciiTheme="minorHAnsi" w:hAnsiTheme="minorHAnsi"/>
              </w:rPr>
              <w:t>large infrastructure opera</w:t>
            </w:r>
            <w:r>
              <w:rPr>
                <w:rFonts w:asciiTheme="minorHAnsi" w:hAnsiTheme="minorHAnsi"/>
              </w:rPr>
              <w:t xml:space="preserve">tors to </w:t>
            </w:r>
            <w:r w:rsidR="00994DA8">
              <w:rPr>
                <w:rFonts w:asciiTheme="minorHAnsi" w:hAnsiTheme="minorHAnsi"/>
              </w:rPr>
              <w:t xml:space="preserve">Basin </w:t>
            </w:r>
            <w:r>
              <w:rPr>
                <w:rFonts w:asciiTheme="minorHAnsi" w:hAnsiTheme="minorHAnsi"/>
              </w:rPr>
              <w:t xml:space="preserve">states </w:t>
            </w:r>
            <w:r w:rsidR="00F56C17">
              <w:rPr>
                <w:rFonts w:asciiTheme="minorHAnsi" w:hAnsiTheme="minorHAnsi"/>
              </w:rPr>
              <w:t xml:space="preserve">under </w:t>
            </w:r>
            <w:r w:rsidR="00994DA8">
              <w:rPr>
                <w:rFonts w:asciiTheme="minorHAnsi" w:hAnsiTheme="minorHAnsi"/>
              </w:rPr>
              <w:t xml:space="preserve">Basin </w:t>
            </w:r>
            <w:r w:rsidR="00F56C17">
              <w:rPr>
                <w:rFonts w:asciiTheme="minorHAnsi" w:hAnsiTheme="minorHAnsi"/>
              </w:rPr>
              <w:t xml:space="preserve">state laws, provided the </w:t>
            </w:r>
            <w:r w:rsidR="00994DA8">
              <w:rPr>
                <w:rFonts w:asciiTheme="minorHAnsi" w:hAnsiTheme="minorHAnsi"/>
              </w:rPr>
              <w:t>Basin </w:t>
            </w:r>
            <w:r w:rsidR="00F56C17">
              <w:rPr>
                <w:rFonts w:asciiTheme="minorHAnsi" w:hAnsiTheme="minorHAnsi"/>
              </w:rPr>
              <w:t>s</w:t>
            </w:r>
            <w:r>
              <w:rPr>
                <w:rFonts w:asciiTheme="minorHAnsi" w:hAnsiTheme="minorHAnsi"/>
              </w:rPr>
              <w:t xml:space="preserve">tate law </w:t>
            </w:r>
            <w:r w:rsidR="008D2B5E">
              <w:rPr>
                <w:rFonts w:asciiTheme="minorHAnsi" w:hAnsiTheme="minorHAnsi"/>
              </w:rPr>
              <w:t>meets</w:t>
            </w:r>
            <w:r>
              <w:rPr>
                <w:rFonts w:asciiTheme="minorHAnsi" w:hAnsiTheme="minorHAnsi"/>
              </w:rPr>
              <w:t xml:space="preserve"> the regulatory test in </w:t>
            </w:r>
            <w:r w:rsidR="00D57D00">
              <w:rPr>
                <w:rFonts w:asciiTheme="minorHAnsi" w:hAnsiTheme="minorHAnsi"/>
              </w:rPr>
              <w:t xml:space="preserve">paragraph </w:t>
            </w:r>
            <w:r>
              <w:rPr>
                <w:rFonts w:asciiTheme="minorHAnsi" w:hAnsiTheme="minorHAnsi"/>
              </w:rPr>
              <w:t>29(2)(b) regarding cost reflective charging</w:t>
            </w:r>
            <w:r w:rsidR="009105F2">
              <w:rPr>
                <w:rFonts w:asciiTheme="minorHAnsi" w:hAnsiTheme="minorHAnsi"/>
              </w:rPr>
              <w:t xml:space="preserve"> consistent with </w:t>
            </w:r>
            <w:r w:rsidR="008D2B5E">
              <w:rPr>
                <w:rFonts w:asciiTheme="minorHAnsi" w:hAnsiTheme="minorHAnsi"/>
              </w:rPr>
              <w:t>(</w:t>
            </w:r>
            <w:r w:rsidR="00EC5DDF">
              <w:rPr>
                <w:rFonts w:asciiTheme="minorHAnsi" w:hAnsiTheme="minorHAnsi"/>
              </w:rPr>
              <w:t>not exceeding</w:t>
            </w:r>
            <w:r w:rsidR="008D2B5E">
              <w:rPr>
                <w:rFonts w:asciiTheme="minorHAnsi" w:hAnsiTheme="minorHAnsi"/>
              </w:rPr>
              <w:t>)</w:t>
            </w:r>
            <w:r w:rsidR="00EC5DDF">
              <w:rPr>
                <w:rFonts w:asciiTheme="minorHAnsi" w:hAnsiTheme="minorHAnsi"/>
              </w:rPr>
              <w:t xml:space="preserve"> </w:t>
            </w:r>
            <w:r w:rsidR="009105F2">
              <w:rPr>
                <w:rFonts w:asciiTheme="minorHAnsi" w:hAnsiTheme="minorHAnsi"/>
              </w:rPr>
              <w:t xml:space="preserve">the recovery of prudent and efficient costs. </w:t>
            </w:r>
          </w:p>
        </w:tc>
      </w:tr>
      <w:tr w:rsidR="004379F6" w:rsidTr="004379F6">
        <w:tc>
          <w:tcPr>
            <w:tcW w:w="13948" w:type="dxa"/>
          </w:tcPr>
          <w:p w:rsidR="004379F6" w:rsidRDefault="004379F6" w:rsidP="006E5682">
            <w:pPr>
              <w:rPr>
                <w:sz w:val="28"/>
                <w:szCs w:val="28"/>
              </w:rPr>
            </w:pPr>
            <w:r w:rsidRPr="00C44674">
              <w:rPr>
                <w:rFonts w:asciiTheme="minorHAnsi" w:hAnsiTheme="minorHAnsi"/>
              </w:rPr>
              <w:t>5-V: shorten the regulatory period for any Part 7 operators to 3 years.</w:t>
            </w:r>
          </w:p>
        </w:tc>
      </w:tr>
      <w:tr w:rsidR="004379F6" w:rsidTr="004379F6">
        <w:tc>
          <w:tcPr>
            <w:tcW w:w="13948" w:type="dxa"/>
          </w:tcPr>
          <w:p w:rsidR="004379F6" w:rsidRDefault="004379F6" w:rsidP="00A10CC3">
            <w:pPr>
              <w:rPr>
                <w:sz w:val="28"/>
                <w:szCs w:val="28"/>
              </w:rPr>
            </w:pPr>
            <w:r w:rsidRPr="00C44674">
              <w:rPr>
                <w:rFonts w:asciiTheme="minorHAnsi" w:hAnsiTheme="minorHAnsi"/>
              </w:rPr>
              <w:t>5-W: repeal Part 9 accreditation arrangements.</w:t>
            </w:r>
            <w:r w:rsidR="003505F5">
              <w:rPr>
                <w:rFonts w:asciiTheme="minorHAnsi" w:hAnsiTheme="minorHAnsi"/>
              </w:rPr>
              <w:t xml:space="preserve"> </w:t>
            </w:r>
            <w:r w:rsidRPr="000C250D">
              <w:rPr>
                <w:rFonts w:asciiTheme="minorHAnsi" w:hAnsiTheme="minorHAnsi"/>
              </w:rPr>
              <w:t xml:space="preserve">The accreditation arrangements </w:t>
            </w:r>
            <w:r w:rsidR="00A10CC3">
              <w:rPr>
                <w:rFonts w:asciiTheme="minorHAnsi" w:hAnsiTheme="minorHAnsi"/>
              </w:rPr>
              <w:t>will</w:t>
            </w:r>
            <w:r w:rsidRPr="000C250D">
              <w:rPr>
                <w:rFonts w:asciiTheme="minorHAnsi" w:hAnsiTheme="minorHAnsi"/>
              </w:rPr>
              <w:t xml:space="preserve"> continue only </w:t>
            </w:r>
            <w:r w:rsidR="008A00A2">
              <w:rPr>
                <w:rFonts w:asciiTheme="minorHAnsi" w:hAnsiTheme="minorHAnsi"/>
              </w:rPr>
              <w:t>so</w:t>
            </w:r>
            <w:r w:rsidRPr="000C250D">
              <w:rPr>
                <w:rFonts w:asciiTheme="minorHAnsi" w:hAnsiTheme="minorHAnsi"/>
              </w:rPr>
              <w:t xml:space="preserve"> far as is necessary for current regulatory periods for </w:t>
            </w:r>
            <w:r w:rsidR="008A00A2">
              <w:rPr>
                <w:rFonts w:asciiTheme="minorHAnsi" w:hAnsiTheme="minorHAnsi"/>
              </w:rPr>
              <w:t>Part 6</w:t>
            </w:r>
            <w:r w:rsidRPr="000C250D">
              <w:rPr>
                <w:rFonts w:asciiTheme="minorHAnsi" w:hAnsiTheme="minorHAnsi"/>
              </w:rPr>
              <w:t xml:space="preserve"> operators to expire. </w:t>
            </w:r>
          </w:p>
        </w:tc>
      </w:tr>
      <w:tr w:rsidR="004379F6" w:rsidTr="004379F6">
        <w:tc>
          <w:tcPr>
            <w:tcW w:w="13948" w:type="dxa"/>
          </w:tcPr>
          <w:p w:rsidR="004379F6" w:rsidRDefault="004379F6" w:rsidP="00AC618E">
            <w:pPr>
              <w:rPr>
                <w:sz w:val="28"/>
                <w:szCs w:val="28"/>
              </w:rPr>
            </w:pPr>
            <w:r w:rsidRPr="00C44674">
              <w:rPr>
                <w:rFonts w:asciiTheme="minorHAnsi" w:hAnsiTheme="minorHAnsi"/>
              </w:rPr>
              <w:t xml:space="preserve">5-Y: </w:t>
            </w:r>
            <w:r w:rsidR="00FE0812">
              <w:rPr>
                <w:rFonts w:asciiTheme="minorHAnsi" w:hAnsiTheme="minorHAnsi"/>
              </w:rPr>
              <w:t xml:space="preserve">regulate the manner in which an infrastructure operator can recover amounts incurred by the operator through infrastructure charges or planning and management charges levied on the operator by another entity. </w:t>
            </w:r>
          </w:p>
        </w:tc>
      </w:tr>
      <w:tr w:rsidR="004379F6" w:rsidTr="004379F6">
        <w:tc>
          <w:tcPr>
            <w:tcW w:w="13948" w:type="dxa"/>
          </w:tcPr>
          <w:p w:rsidR="004379F6" w:rsidRDefault="004379F6" w:rsidP="00E47D37">
            <w:pPr>
              <w:rPr>
                <w:sz w:val="28"/>
                <w:szCs w:val="28"/>
              </w:rPr>
            </w:pPr>
            <w:r w:rsidRPr="004379F6">
              <w:rPr>
                <w:rFonts w:asciiTheme="minorHAnsi" w:hAnsiTheme="minorHAnsi"/>
              </w:rPr>
              <w:t xml:space="preserve">6-B to 6-G: enhance </w:t>
            </w:r>
            <w:r w:rsidR="00EA5B30">
              <w:rPr>
                <w:rFonts w:asciiTheme="minorHAnsi" w:hAnsiTheme="minorHAnsi"/>
              </w:rPr>
              <w:t xml:space="preserve">transparency </w:t>
            </w:r>
            <w:r w:rsidR="00E47D37">
              <w:rPr>
                <w:rFonts w:asciiTheme="minorHAnsi" w:hAnsiTheme="minorHAnsi"/>
              </w:rPr>
              <w:t>and m</w:t>
            </w:r>
            <w:r w:rsidRPr="004379F6">
              <w:rPr>
                <w:rFonts w:asciiTheme="minorHAnsi" w:hAnsiTheme="minorHAnsi"/>
              </w:rPr>
              <w:t>ethod for calculating termination fees.</w:t>
            </w:r>
          </w:p>
        </w:tc>
      </w:tr>
      <w:tr w:rsidR="004379F6" w:rsidTr="004379F6">
        <w:tc>
          <w:tcPr>
            <w:tcW w:w="13948" w:type="dxa"/>
          </w:tcPr>
          <w:p w:rsidR="004379F6" w:rsidRDefault="004379F6" w:rsidP="00CC03AE">
            <w:pPr>
              <w:rPr>
                <w:sz w:val="28"/>
                <w:szCs w:val="28"/>
              </w:rPr>
            </w:pPr>
            <w:r w:rsidRPr="004379F6">
              <w:rPr>
                <w:rFonts w:asciiTheme="minorHAnsi" w:hAnsiTheme="minorHAnsi"/>
              </w:rPr>
              <w:t>6</w:t>
            </w:r>
            <w:r w:rsidR="00EE6CC2">
              <w:rPr>
                <w:rFonts w:asciiTheme="minorHAnsi" w:hAnsiTheme="minorHAnsi"/>
              </w:rPr>
              <w:t>-</w:t>
            </w:r>
            <w:r w:rsidRPr="004379F6">
              <w:rPr>
                <w:rFonts w:asciiTheme="minorHAnsi" w:hAnsiTheme="minorHAnsi"/>
              </w:rPr>
              <w:t>A: app</w:t>
            </w:r>
            <w:r w:rsidR="00011AE0">
              <w:rPr>
                <w:rFonts w:asciiTheme="minorHAnsi" w:hAnsiTheme="minorHAnsi"/>
              </w:rPr>
              <w:t>l</w:t>
            </w:r>
            <w:r w:rsidR="001162DF">
              <w:rPr>
                <w:rFonts w:asciiTheme="minorHAnsi" w:hAnsiTheme="minorHAnsi"/>
              </w:rPr>
              <w:t>y</w:t>
            </w:r>
            <w:r w:rsidRPr="004379F6">
              <w:rPr>
                <w:rFonts w:asciiTheme="minorHAnsi" w:hAnsiTheme="minorHAnsi"/>
              </w:rPr>
              <w:t xml:space="preserve"> new termination fee rules to all infrastructure operators. Some irrigation infrastructure operators may no longer satisfy the primary purpose test (majority of water delivered for irrigation) and may not meet the definition of an IIO. They may nevertheless </w:t>
            </w:r>
            <w:r w:rsidR="003B6505">
              <w:rPr>
                <w:rFonts w:asciiTheme="minorHAnsi" w:hAnsiTheme="minorHAnsi"/>
              </w:rPr>
              <w:t xml:space="preserve">continue </w:t>
            </w:r>
            <w:r w:rsidRPr="004379F6">
              <w:rPr>
                <w:rFonts w:asciiTheme="minorHAnsi" w:hAnsiTheme="minorHAnsi"/>
              </w:rPr>
              <w:t>to levy terminati</w:t>
            </w:r>
            <w:r w:rsidR="003B6505">
              <w:rPr>
                <w:rFonts w:asciiTheme="minorHAnsi" w:hAnsiTheme="minorHAnsi"/>
              </w:rPr>
              <w:t>on</w:t>
            </w:r>
            <w:r w:rsidRPr="004379F6">
              <w:rPr>
                <w:rFonts w:asciiTheme="minorHAnsi" w:hAnsiTheme="minorHAnsi"/>
              </w:rPr>
              <w:t xml:space="preserve"> fees </w:t>
            </w:r>
            <w:r w:rsidR="001162DF">
              <w:rPr>
                <w:rFonts w:asciiTheme="minorHAnsi" w:hAnsiTheme="minorHAnsi"/>
              </w:rPr>
              <w:t xml:space="preserve">on irrigators </w:t>
            </w:r>
            <w:r w:rsidR="00CC03AE">
              <w:rPr>
                <w:rFonts w:asciiTheme="minorHAnsi" w:hAnsiTheme="minorHAnsi"/>
              </w:rPr>
              <w:t>so</w:t>
            </w:r>
            <w:r w:rsidRPr="004379F6">
              <w:rPr>
                <w:rFonts w:asciiTheme="minorHAnsi" w:hAnsiTheme="minorHAnsi"/>
              </w:rPr>
              <w:t xml:space="preserve"> the new termination fee rules will apply to them</w:t>
            </w:r>
            <w:r w:rsidRPr="00876E47">
              <w:rPr>
                <w:rFonts w:asciiTheme="minorHAnsi" w:hAnsiTheme="minorHAnsi"/>
              </w:rPr>
              <w:t>.</w:t>
            </w:r>
          </w:p>
        </w:tc>
      </w:tr>
      <w:tr w:rsidR="004379F6" w:rsidTr="004379F6">
        <w:tc>
          <w:tcPr>
            <w:tcW w:w="13948" w:type="dxa"/>
          </w:tcPr>
          <w:p w:rsidR="004379F6" w:rsidRDefault="004379F6" w:rsidP="00EE6CC2">
            <w:r w:rsidRPr="004379F6">
              <w:rPr>
                <w:rFonts w:asciiTheme="minorHAnsi" w:hAnsiTheme="minorHAnsi"/>
              </w:rPr>
              <w:t>7</w:t>
            </w:r>
            <w:r w:rsidR="00EE6CC2">
              <w:rPr>
                <w:rFonts w:asciiTheme="minorHAnsi" w:hAnsiTheme="minorHAnsi"/>
              </w:rPr>
              <w:t>-</w:t>
            </w:r>
            <w:r w:rsidRPr="004379F6">
              <w:rPr>
                <w:rFonts w:asciiTheme="minorHAnsi" w:hAnsiTheme="minorHAnsi"/>
              </w:rPr>
              <w:t>A and 7-B: streamline water planning and management charges.</w:t>
            </w:r>
          </w:p>
        </w:tc>
      </w:tr>
      <w:tr w:rsidR="003505F5" w:rsidTr="004379F6">
        <w:tc>
          <w:tcPr>
            <w:tcW w:w="13948" w:type="dxa"/>
          </w:tcPr>
          <w:p w:rsidR="003505F5" w:rsidRPr="004379F6" w:rsidRDefault="003505F5" w:rsidP="00143360">
            <w:pPr>
              <w:rPr>
                <w:rFonts w:asciiTheme="minorHAnsi" w:hAnsiTheme="minorHAnsi"/>
              </w:rPr>
            </w:pPr>
            <w:r w:rsidRPr="00A44BD1">
              <w:rPr>
                <w:b/>
              </w:rPr>
              <w:t xml:space="preserve">ACCC rule advices not </w:t>
            </w:r>
            <w:r w:rsidR="00143360">
              <w:rPr>
                <w:b/>
              </w:rPr>
              <w:t xml:space="preserve">being implemented </w:t>
            </w:r>
          </w:p>
        </w:tc>
      </w:tr>
      <w:tr w:rsidR="003505F5" w:rsidTr="004379F6">
        <w:tc>
          <w:tcPr>
            <w:tcW w:w="13948" w:type="dxa"/>
          </w:tcPr>
          <w:p w:rsidR="003505F5" w:rsidRPr="004379F6" w:rsidRDefault="003505F5" w:rsidP="003505F5">
            <w:pPr>
              <w:rPr>
                <w:rFonts w:asciiTheme="minorHAnsi" w:hAnsiTheme="minorHAnsi"/>
              </w:rPr>
            </w:pPr>
            <w:r w:rsidRPr="00C44674">
              <w:rPr>
                <w:rFonts w:asciiTheme="minorHAnsi" w:hAnsiTheme="minorHAnsi"/>
              </w:rPr>
              <w:t>4-C: repeal private right of action for infrastructure charges</w:t>
            </w:r>
            <w:r>
              <w:rPr>
                <w:rFonts w:asciiTheme="minorHAnsi" w:hAnsiTheme="minorHAnsi"/>
              </w:rPr>
              <w:t xml:space="preserve">. Existing rule 57 of the </w:t>
            </w:r>
            <w:r w:rsidRPr="00E81BA1">
              <w:rPr>
                <w:rFonts w:asciiTheme="minorHAnsi" w:hAnsiTheme="minorHAnsi"/>
                <w:i/>
              </w:rPr>
              <w:t>Water Charge (Infrastructure Rules) 2010</w:t>
            </w:r>
            <w:r>
              <w:rPr>
                <w:rFonts w:asciiTheme="minorHAnsi" w:hAnsiTheme="minorHAnsi"/>
              </w:rPr>
              <w:t xml:space="preserve"> is retained.</w:t>
            </w:r>
          </w:p>
        </w:tc>
      </w:tr>
      <w:tr w:rsidR="003505F5" w:rsidTr="004379F6">
        <w:tc>
          <w:tcPr>
            <w:tcW w:w="13948" w:type="dxa"/>
          </w:tcPr>
          <w:p w:rsidR="003505F5" w:rsidRPr="004379F6" w:rsidRDefault="003505F5" w:rsidP="003505F5">
            <w:pPr>
              <w:rPr>
                <w:rFonts w:asciiTheme="minorHAnsi" w:hAnsiTheme="minorHAnsi"/>
              </w:rPr>
            </w:pPr>
            <w:r w:rsidRPr="003505F5">
              <w:rPr>
                <w:rFonts w:asciiTheme="minorHAnsi" w:hAnsiTheme="minorHAnsi"/>
              </w:rPr>
              <w:t xml:space="preserve">5-A, 5-B, 5-D, 5-X: proposed rule 10 and </w:t>
            </w:r>
            <w:bookmarkStart w:id="0" w:name="_GoBack"/>
            <w:bookmarkEnd w:id="0"/>
            <w:r w:rsidRPr="003505F5">
              <w:rPr>
                <w:rFonts w:asciiTheme="minorHAnsi" w:hAnsiTheme="minorHAnsi"/>
              </w:rPr>
              <w:t xml:space="preserve">10A non-discrimination rules. Existing rule 10 of the </w:t>
            </w:r>
            <w:r w:rsidRPr="003505F5">
              <w:rPr>
                <w:rFonts w:asciiTheme="minorHAnsi" w:hAnsiTheme="minorHAnsi"/>
                <w:i/>
              </w:rPr>
              <w:t>Water Charge (Infrastructure Rules) 2010</w:t>
            </w:r>
            <w:r w:rsidRPr="003505F5">
              <w:rPr>
                <w:rFonts w:asciiTheme="minorHAnsi" w:hAnsiTheme="minorHAnsi"/>
              </w:rPr>
              <w:t xml:space="preserve"> is retained.  </w:t>
            </w:r>
          </w:p>
        </w:tc>
      </w:tr>
      <w:tr w:rsidR="003505F5" w:rsidTr="004379F6">
        <w:tc>
          <w:tcPr>
            <w:tcW w:w="13948" w:type="dxa"/>
          </w:tcPr>
          <w:p w:rsidR="003505F5" w:rsidRPr="003505F5" w:rsidRDefault="003505F5" w:rsidP="003505F5">
            <w:pPr>
              <w:rPr>
                <w:rFonts w:asciiTheme="minorHAnsi" w:hAnsiTheme="minorHAnsi"/>
              </w:rPr>
            </w:pPr>
            <w:r w:rsidRPr="003505F5">
              <w:rPr>
                <w:rFonts w:asciiTheme="minorHAnsi" w:hAnsiTheme="minorHAnsi"/>
              </w:rPr>
              <w:t xml:space="preserve">5-S to 5-U: proposed new rules for distributions. Existing Part 7 of the </w:t>
            </w:r>
            <w:r w:rsidRPr="003505F5">
              <w:rPr>
                <w:rFonts w:asciiTheme="minorHAnsi" w:hAnsiTheme="minorHAnsi"/>
                <w:i/>
              </w:rPr>
              <w:t>Water Charge (Infrastructure Rules) 2010</w:t>
            </w:r>
            <w:r w:rsidRPr="003505F5">
              <w:rPr>
                <w:rFonts w:asciiTheme="minorHAnsi" w:hAnsiTheme="minorHAnsi"/>
              </w:rPr>
              <w:t xml:space="preserve"> is retained.  </w:t>
            </w:r>
          </w:p>
        </w:tc>
      </w:tr>
    </w:tbl>
    <w:p w:rsidR="004379F6" w:rsidRPr="00D27067" w:rsidRDefault="00F1292A" w:rsidP="006E5682">
      <w:pPr>
        <w:rPr>
          <w:rFonts w:asciiTheme="minorHAnsi" w:hAnsiTheme="minorHAnsi"/>
          <w:sz w:val="20"/>
          <w:szCs w:val="20"/>
        </w:rPr>
      </w:pPr>
      <w:r w:rsidRPr="00D27067">
        <w:rPr>
          <w:rFonts w:asciiTheme="minorHAnsi" w:hAnsiTheme="minorHAnsi"/>
          <w:sz w:val="20"/>
          <w:szCs w:val="20"/>
        </w:rPr>
        <w:t xml:space="preserve">* Rule advice 5-L: repeal of requirements for Network Service Plans was implemented in 2017. </w:t>
      </w:r>
    </w:p>
    <w:sectPr w:rsidR="004379F6" w:rsidRPr="00D27067" w:rsidSect="006E5682">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EBD" w:rsidRDefault="00A52EBD">
      <w:r>
        <w:separator/>
      </w:r>
    </w:p>
  </w:endnote>
  <w:endnote w:type="continuationSeparator" w:id="0">
    <w:p w:rsidR="00A52EBD" w:rsidRDefault="00A5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ab/>
        </w:r>
        <w:r>
          <w:fldChar w:fldCharType="begin"/>
        </w:r>
        <w:r>
          <w:instrText xml:space="preserve"> PAGE   \* MERGEFORMAT </w:instrText>
        </w:r>
        <w:r>
          <w:fldChar w:fldCharType="separate"/>
        </w:r>
        <w:r w:rsidR="00D2706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EBD" w:rsidRDefault="00A52EBD">
      <w:r>
        <w:separator/>
      </w:r>
    </w:p>
  </w:footnote>
  <w:footnote w:type="continuationSeparator" w:id="0">
    <w:p w:rsidR="00A52EBD" w:rsidRDefault="00A52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BD"/>
    <w:rsid w:val="00011AE0"/>
    <w:rsid w:val="001162DF"/>
    <w:rsid w:val="00143360"/>
    <w:rsid w:val="00167E91"/>
    <w:rsid w:val="001C11BC"/>
    <w:rsid w:val="001D7241"/>
    <w:rsid w:val="0028651A"/>
    <w:rsid w:val="003505F5"/>
    <w:rsid w:val="003B6505"/>
    <w:rsid w:val="004379F6"/>
    <w:rsid w:val="00461807"/>
    <w:rsid w:val="004972FA"/>
    <w:rsid w:val="005143C8"/>
    <w:rsid w:val="0054747E"/>
    <w:rsid w:val="00626E31"/>
    <w:rsid w:val="006A64E0"/>
    <w:rsid w:val="006E5682"/>
    <w:rsid w:val="00876E47"/>
    <w:rsid w:val="008A00A2"/>
    <w:rsid w:val="008D2B5E"/>
    <w:rsid w:val="00905F94"/>
    <w:rsid w:val="009105F2"/>
    <w:rsid w:val="00942290"/>
    <w:rsid w:val="0098799E"/>
    <w:rsid w:val="00994DA8"/>
    <w:rsid w:val="00A10CC3"/>
    <w:rsid w:val="00A52EBD"/>
    <w:rsid w:val="00AA4B88"/>
    <w:rsid w:val="00AC618E"/>
    <w:rsid w:val="00B57188"/>
    <w:rsid w:val="00C6669A"/>
    <w:rsid w:val="00CA6874"/>
    <w:rsid w:val="00CC03AE"/>
    <w:rsid w:val="00D27067"/>
    <w:rsid w:val="00D57D00"/>
    <w:rsid w:val="00E3214D"/>
    <w:rsid w:val="00E47D37"/>
    <w:rsid w:val="00EA5B30"/>
    <w:rsid w:val="00EC5DDF"/>
    <w:rsid w:val="00EE6CC2"/>
    <w:rsid w:val="00F1292A"/>
    <w:rsid w:val="00F56C17"/>
    <w:rsid w:val="00F6320D"/>
    <w:rsid w:val="00FC2E2B"/>
    <w:rsid w:val="00FE0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A2BC0E59-2492-45C1-9E21-C504953E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0C1CAAF1-5FAE-4715-B15E-3A2211B50344}"/>
</file>

<file path=customXml/itemProps2.xml><?xml version="1.0" encoding="utf-8"?>
<ds:datastoreItem xmlns:ds="http://schemas.openxmlformats.org/officeDocument/2006/customXml" ds:itemID="{97D38A7C-BC1C-4DFC-9B8C-C62B4158CA04}"/>
</file>

<file path=customXml/itemProps3.xml><?xml version="1.0" encoding="utf-8"?>
<ds:datastoreItem xmlns:ds="http://schemas.openxmlformats.org/officeDocument/2006/customXml" ds:itemID="{4A9D08FE-4EEC-4374-AA6F-27279247F183}"/>
</file>

<file path=customXml/itemProps4.xml><?xml version="1.0" encoding="utf-8"?>
<ds:datastoreItem xmlns:ds="http://schemas.openxmlformats.org/officeDocument/2006/customXml" ds:itemID="{746AC3E9-6E43-47B0-93FB-14C2FB564FC3}"/>
</file>

<file path=docProps/app.xml><?xml version="1.0" encoding="utf-8"?>
<Properties xmlns="http://schemas.openxmlformats.org/officeDocument/2006/extended-properties" xmlns:vt="http://schemas.openxmlformats.org/officeDocument/2006/docPropsVTypes">
  <Template>Normal</Template>
  <TotalTime>70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_</dc:creator>
  <cp:keywords/>
  <dc:description/>
  <cp:lastModifiedBy>_</cp:lastModifiedBy>
  <cp:revision>43</cp:revision>
  <cp:lastPrinted>2019-02-06T04:47:00Z</cp:lastPrinted>
  <dcterms:created xsi:type="dcterms:W3CDTF">2019-01-30T04:41:00Z</dcterms:created>
  <dcterms:modified xsi:type="dcterms:W3CDTF">2019-02-07T23:12:00Z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