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C22B9" w:rsidRPr="002552DB" w:rsidRDefault="004C22B9" w:rsidP="004C22B9">
      <w:pPr>
        <w:rPr>
          <w:rFonts w:ascii="Arial" w:hAnsi="Arial" w:cs="Arial"/>
          <w:lang w:eastAsia="ja-JP"/>
        </w:rPr>
      </w:pPr>
      <w:r w:rsidRPr="002552DB">
        <w:rPr>
          <w:rFonts w:ascii="Arial" w:hAnsi="Arial" w:cs="Arial"/>
          <w:lang w:eastAsia="ja-JP"/>
        </w:rPr>
        <w:t>Ref: 13WRM0798</w:t>
      </w:r>
    </w:p>
    <w:p w:rsidR="004C22B9" w:rsidRPr="002552DB" w:rsidRDefault="004C22B9" w:rsidP="004C22B9">
      <w:pPr>
        <w:rPr>
          <w:rFonts w:ascii="Arial" w:hAnsi="Arial" w:cs="Arial"/>
          <w:lang w:eastAsia="ja-JP"/>
        </w:rPr>
      </w:pPr>
    </w:p>
    <w:p w:rsidR="00905F94" w:rsidRPr="002552DB" w:rsidRDefault="004C22B9" w:rsidP="004C22B9">
      <w:pPr>
        <w:rPr>
          <w:rFonts w:ascii="Arial" w:hAnsi="Arial" w:cs="Arial"/>
          <w:lang w:eastAsia="ja-JP"/>
        </w:rPr>
      </w:pPr>
      <w:r w:rsidRPr="002552DB">
        <w:rPr>
          <w:rFonts w:ascii="Arial" w:hAnsi="Arial" w:cs="Arial"/>
          <w:lang w:eastAsia="ja-JP"/>
        </w:rPr>
        <w:t>Senator the Hon. Simon Birmingham</w:t>
      </w:r>
      <w:r w:rsidRPr="002552DB">
        <w:rPr>
          <w:rFonts w:ascii="Arial" w:hAnsi="Arial" w:cs="Arial"/>
          <w:lang w:eastAsia="ja-JP"/>
        </w:rPr>
        <w:br/>
        <w:t>Parliamentary Secretary to the Minister for the Environment</w:t>
      </w:r>
      <w:r w:rsidRPr="002552DB">
        <w:rPr>
          <w:rFonts w:ascii="Arial" w:hAnsi="Arial" w:cs="Arial"/>
          <w:lang w:eastAsia="ja-JP"/>
        </w:rPr>
        <w:br/>
        <w:t>Parliament House</w:t>
      </w:r>
      <w:r w:rsidRPr="002552DB">
        <w:rPr>
          <w:rFonts w:ascii="Arial" w:hAnsi="Arial" w:cs="Arial"/>
          <w:lang w:eastAsia="ja-JP"/>
        </w:rPr>
        <w:br/>
        <w:t>PO Box 6100</w:t>
      </w:r>
      <w:r w:rsidRPr="002552DB">
        <w:rPr>
          <w:rFonts w:ascii="Arial" w:hAnsi="Arial" w:cs="Arial"/>
          <w:lang w:eastAsia="ja-JP"/>
        </w:rPr>
        <w:br/>
        <w:t>Canberra ACT 2600</w:t>
      </w:r>
    </w:p>
    <w:p w:rsidR="004C22B9" w:rsidRPr="002552DB" w:rsidRDefault="004C22B9" w:rsidP="004C22B9">
      <w:pPr>
        <w:rPr>
          <w:rFonts w:ascii="Arial" w:hAnsi="Arial" w:cs="Arial"/>
          <w:lang w:eastAsia="ja-JP"/>
        </w:rPr>
      </w:pPr>
    </w:p>
    <w:p w:rsidR="004C22B9" w:rsidRPr="002552DB" w:rsidRDefault="004C22B9" w:rsidP="004C22B9">
      <w:pPr>
        <w:rPr>
          <w:rFonts w:ascii="Arial" w:hAnsi="Arial" w:cs="Arial"/>
          <w:lang w:eastAsia="ja-JP"/>
        </w:rPr>
      </w:pPr>
      <w:r w:rsidRPr="002552DB">
        <w:rPr>
          <w:rFonts w:ascii="Arial" w:hAnsi="Arial" w:cs="Arial"/>
          <w:lang w:eastAsia="ja-JP"/>
        </w:rPr>
        <w:t>Dear Senator</w:t>
      </w:r>
      <w:r w:rsidR="00DD36A2">
        <w:rPr>
          <w:rFonts w:ascii="Arial" w:hAnsi="Arial" w:cs="Arial"/>
          <w:lang w:eastAsia="ja-JP"/>
        </w:rPr>
        <w:t xml:space="preserve"> </w:t>
      </w:r>
      <w:r w:rsidR="00DD36A2" w:rsidRPr="002552DB">
        <w:rPr>
          <w:rFonts w:ascii="Arial" w:hAnsi="Arial" w:cs="Arial"/>
          <w:lang w:eastAsia="ja-JP"/>
        </w:rPr>
        <w:t>Birmingham</w:t>
      </w:r>
    </w:p>
    <w:p w:rsidR="004C22B9" w:rsidRPr="002552DB" w:rsidRDefault="004C22B9" w:rsidP="004C22B9">
      <w:pPr>
        <w:rPr>
          <w:rFonts w:ascii="Arial" w:hAnsi="Arial" w:cs="Arial"/>
          <w:lang w:eastAsia="ja-JP"/>
        </w:rPr>
      </w:pPr>
      <w:r w:rsidRPr="002552DB">
        <w:rPr>
          <w:rFonts w:ascii="Arial" w:hAnsi="Arial" w:cs="Arial"/>
          <w:lang w:eastAsia="ja-JP"/>
        </w:rPr>
        <w:t>I refer to the South Australian Government's obligations under the (Implementation Plan for Augmentation of the Adelaide Desalination Plant)</w:t>
      </w:r>
    </w:p>
    <w:p w:rsidR="004C22B9" w:rsidRPr="002552DB" w:rsidRDefault="004C22B9" w:rsidP="004C22B9">
      <w:pPr>
        <w:rPr>
          <w:rFonts w:ascii="Arial" w:hAnsi="Arial" w:cs="Arial"/>
          <w:lang w:eastAsia="ja-JP"/>
        </w:rPr>
      </w:pPr>
      <w:r w:rsidRPr="002552DB">
        <w:rPr>
          <w:rFonts w:ascii="Arial" w:hAnsi="Arial" w:cs="Arial"/>
          <w:lang w:eastAsia="ja-JP"/>
        </w:rPr>
        <w:t>I am pleased to provide the attached report on the manner in which the state has met its obligations in 2012-13, which has been provided separately to officers from your department, and which is required to be provided by November 30 each year.</w:t>
      </w:r>
    </w:p>
    <w:p w:rsidR="004C22B9" w:rsidRPr="002552DB" w:rsidRDefault="004C22B9" w:rsidP="004C22B9">
      <w:pPr>
        <w:rPr>
          <w:rFonts w:ascii="Arial" w:hAnsi="Arial" w:cs="Arial"/>
          <w:color w:val="000000" w:themeColor="text1"/>
          <w:lang w:eastAsia="ja-JP"/>
        </w:rPr>
      </w:pPr>
      <w:r w:rsidRPr="002552DB">
        <w:rPr>
          <w:rFonts w:ascii="Arial" w:hAnsi="Arial" w:cs="Arial"/>
          <w:lang w:eastAsia="ja-JP"/>
        </w:rPr>
        <w:t xml:space="preserve">Please note that the report also includes, as an attachment, a copy of written confirmation from the Murray Darling Basin Authority that all water provided to the environment in 2012-13 has been accounted for in the agreed manner and where relevant would be available to contribute towards 'bridging the gap* (in respect of </w:t>
      </w:r>
      <w:r w:rsidRPr="002552DB">
        <w:rPr>
          <w:rFonts w:ascii="Arial" w:hAnsi="Arial" w:cs="Arial"/>
          <w:color w:val="000000" w:themeColor="text1"/>
          <w:lang w:eastAsia="ja-JP"/>
        </w:rPr>
        <w:t>sustainable diversion limits under the Basin Plan).</w:t>
      </w:r>
    </w:p>
    <w:p w:rsidR="004C22B9" w:rsidRPr="002552DB" w:rsidRDefault="004C22B9" w:rsidP="004C22B9">
      <w:pPr>
        <w:rPr>
          <w:rFonts w:ascii="Arial" w:hAnsi="Arial" w:cs="Arial"/>
          <w:color w:val="000000" w:themeColor="text1"/>
          <w:lang w:eastAsia="ja-JP"/>
        </w:rPr>
      </w:pPr>
      <w:r w:rsidRPr="002552DB">
        <w:rPr>
          <w:rFonts w:ascii="Arial" w:hAnsi="Arial" w:cs="Arial"/>
          <w:color w:val="000000" w:themeColor="text1"/>
          <w:lang w:eastAsia="ja-JP"/>
        </w:rPr>
        <w:t xml:space="preserve">If your officers have any questions on the specific contents of the report, these can be directed to </w:t>
      </w:r>
      <w:r w:rsidRPr="002552DB">
        <w:rPr>
          <w:rFonts w:ascii="Arial" w:hAnsi="Arial" w:cs="Arial"/>
          <w:color w:val="000000" w:themeColor="text1"/>
          <w:highlight w:val="black"/>
          <w:lang w:eastAsia="ja-JP"/>
        </w:rPr>
        <w:t>*Name redacted*</w:t>
      </w:r>
      <w:r w:rsidRPr="002552DB">
        <w:rPr>
          <w:rFonts w:ascii="Arial" w:hAnsi="Arial" w:cs="Arial"/>
          <w:color w:val="000000" w:themeColor="text1"/>
          <w:lang w:eastAsia="ja-JP"/>
        </w:rPr>
        <w:t xml:space="preserve"> Director, Water and Climate Change in my department on </w:t>
      </w:r>
      <w:r w:rsidRPr="002552DB">
        <w:rPr>
          <w:rFonts w:ascii="Arial" w:hAnsi="Arial" w:cs="Arial"/>
          <w:color w:val="000000" w:themeColor="text1"/>
          <w:highlight w:val="black"/>
          <w:lang w:eastAsia="ja-JP"/>
        </w:rPr>
        <w:t>*Phone redacted*</w:t>
      </w:r>
    </w:p>
    <w:p w:rsidR="004C22B9" w:rsidRPr="002552DB" w:rsidRDefault="004C22B9" w:rsidP="004C22B9">
      <w:pPr>
        <w:rPr>
          <w:rFonts w:ascii="Arial" w:hAnsi="Arial" w:cs="Arial"/>
          <w:lang w:eastAsia="ja-JP"/>
        </w:rPr>
      </w:pPr>
      <w:r w:rsidRPr="002552DB">
        <w:rPr>
          <w:rFonts w:ascii="Arial" w:hAnsi="Arial" w:cs="Arial"/>
          <w:lang w:eastAsia="ja-JP"/>
        </w:rPr>
        <w:t>Yours sincerely,</w:t>
      </w:r>
    </w:p>
    <w:p w:rsidR="004C22B9" w:rsidRDefault="004C22B9" w:rsidP="004C22B9">
      <w:pPr>
        <w:rPr>
          <w:rFonts w:ascii="Arial" w:hAnsi="Arial" w:cs="Arial"/>
          <w:lang w:eastAsia="ja-JP"/>
        </w:rPr>
      </w:pPr>
    </w:p>
    <w:p w:rsidR="002552DB" w:rsidRDefault="002552DB" w:rsidP="004C22B9">
      <w:pPr>
        <w:rPr>
          <w:rFonts w:ascii="Arial" w:hAnsi="Arial" w:cs="Arial"/>
          <w:lang w:eastAsia="ja-JP"/>
        </w:rPr>
      </w:pPr>
    </w:p>
    <w:p w:rsidR="002552DB" w:rsidRPr="002552DB" w:rsidRDefault="002552DB" w:rsidP="004C22B9">
      <w:pPr>
        <w:rPr>
          <w:rFonts w:ascii="Arial" w:hAnsi="Arial" w:cs="Arial"/>
          <w:lang w:eastAsia="ja-JP"/>
        </w:rPr>
      </w:pPr>
    </w:p>
    <w:p w:rsidR="004C22B9" w:rsidRPr="002552DB" w:rsidRDefault="004C22B9" w:rsidP="004C22B9">
      <w:pPr>
        <w:rPr>
          <w:rFonts w:ascii="Arial" w:hAnsi="Arial" w:cs="Arial"/>
          <w:lang w:eastAsia="ja-JP"/>
        </w:rPr>
      </w:pPr>
      <w:r w:rsidRPr="002552DB">
        <w:rPr>
          <w:rFonts w:ascii="Arial" w:hAnsi="Arial" w:cs="Arial"/>
          <w:lang w:eastAsia="ja-JP"/>
        </w:rPr>
        <w:t>IAN HUNTER MC</w:t>
      </w:r>
    </w:p>
    <w:p w:rsidR="004C22B9" w:rsidRPr="002552DB" w:rsidRDefault="004C22B9" w:rsidP="004C22B9">
      <w:pPr>
        <w:rPr>
          <w:rFonts w:ascii="Arial" w:hAnsi="Arial" w:cs="Arial"/>
          <w:lang w:eastAsia="ja-JP"/>
        </w:rPr>
      </w:pPr>
      <w:r w:rsidRPr="002552DB">
        <w:rPr>
          <w:rFonts w:ascii="Arial" w:hAnsi="Arial" w:cs="Arial"/>
          <w:lang w:eastAsia="ja-JP"/>
        </w:rPr>
        <w:t>Minister for Water and the River Murray</w:t>
      </w:r>
    </w:p>
    <w:p w:rsidR="004C22B9" w:rsidRPr="002552DB" w:rsidRDefault="004C22B9" w:rsidP="004C22B9">
      <w:pPr>
        <w:rPr>
          <w:rFonts w:ascii="Arial" w:hAnsi="Arial" w:cs="Arial"/>
          <w:lang w:eastAsia="ja-JP"/>
        </w:rPr>
      </w:pPr>
      <w:r w:rsidRPr="002552DB">
        <w:rPr>
          <w:rFonts w:ascii="Arial" w:hAnsi="Arial" w:cs="Arial"/>
          <w:lang w:eastAsia="ja-JP"/>
        </w:rPr>
        <w:t>29/11/2013</w:t>
      </w:r>
    </w:p>
    <w:p w:rsidR="004C22B9" w:rsidRPr="002552DB" w:rsidRDefault="004C22B9" w:rsidP="004C22B9">
      <w:pPr>
        <w:rPr>
          <w:rFonts w:ascii="Arial" w:hAnsi="Arial" w:cs="Arial"/>
          <w:lang w:eastAsia="ja-JP"/>
        </w:rPr>
        <w:sectPr w:rsidR="004C22B9" w:rsidRPr="002552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4C22B9" w:rsidRPr="002552DB" w:rsidRDefault="004C22B9" w:rsidP="004C22B9">
      <w:pPr>
        <w:jc w:val="center"/>
        <w:rPr>
          <w:rFonts w:ascii="Arial" w:hAnsi="Arial" w:cs="Arial"/>
          <w:b/>
          <w:lang w:eastAsia="ja-JP"/>
        </w:rPr>
      </w:pPr>
      <w:r w:rsidRPr="002552DB">
        <w:rPr>
          <w:rFonts w:ascii="Arial" w:hAnsi="Arial" w:cs="Arial"/>
          <w:b/>
          <w:lang w:eastAsia="ja-JP"/>
        </w:rPr>
        <w:lastRenderedPageBreak/>
        <w:t>ADELAIDE DESALINATION PLANT</w:t>
      </w:r>
    </w:p>
    <w:p w:rsidR="004C22B9" w:rsidRPr="002552DB" w:rsidRDefault="004C22B9" w:rsidP="004C22B9">
      <w:pPr>
        <w:jc w:val="center"/>
        <w:rPr>
          <w:rFonts w:ascii="Arial" w:hAnsi="Arial" w:cs="Arial"/>
          <w:b/>
          <w:lang w:eastAsia="ja-JP"/>
        </w:rPr>
      </w:pPr>
      <w:bookmarkStart w:id="0" w:name="_GoBack"/>
      <w:bookmarkEnd w:id="0"/>
      <w:r w:rsidRPr="002552DB">
        <w:rPr>
          <w:rFonts w:ascii="Arial" w:hAnsi="Arial" w:cs="Arial"/>
          <w:b/>
          <w:lang w:eastAsia="ja-JP"/>
        </w:rPr>
        <w:t>Report on Environmental Water Allocations, Use and Outcomes (for the year ended 30 June 2013)</w:t>
      </w:r>
    </w:p>
    <w:p w:rsidR="004C22B9" w:rsidRPr="002552DB" w:rsidRDefault="004C22B9" w:rsidP="004C22B9">
      <w:pPr>
        <w:rPr>
          <w:rFonts w:ascii="Arial" w:hAnsi="Arial" w:cs="Arial"/>
          <w:b/>
          <w:lang w:eastAsia="ja-JP"/>
        </w:rPr>
      </w:pPr>
    </w:p>
    <w:tbl>
      <w:tblPr>
        <w:tblStyle w:val="TableGrid"/>
        <w:tblW w:w="0" w:type="auto"/>
        <w:tblLook w:val="04A0" w:firstRow="1" w:lastRow="0" w:firstColumn="1" w:lastColumn="0" w:noHBand="0" w:noVBand="1"/>
      </w:tblPr>
      <w:tblGrid>
        <w:gridCol w:w="1746"/>
        <w:gridCol w:w="1387"/>
        <w:gridCol w:w="1392"/>
        <w:gridCol w:w="1348"/>
        <w:gridCol w:w="1340"/>
        <w:gridCol w:w="1355"/>
        <w:gridCol w:w="1347"/>
        <w:gridCol w:w="1348"/>
        <w:gridCol w:w="1348"/>
        <w:gridCol w:w="1342"/>
      </w:tblGrid>
      <w:tr w:rsidR="004C22B9" w:rsidRPr="002552DB" w:rsidTr="00591E22">
        <w:tc>
          <w:tcPr>
            <w:tcW w:w="1734" w:type="dxa"/>
            <w:vMerge w:val="restart"/>
            <w:tcBorders>
              <w:top w:val="nil"/>
              <w:left w:val="nil"/>
            </w:tcBorders>
            <w:shd w:val="clear" w:color="auto" w:fill="FFFFFF" w:themeFill="background1"/>
            <w:vAlign w:val="center"/>
          </w:tcPr>
          <w:p w:rsidR="004C22B9" w:rsidRPr="002552DB" w:rsidRDefault="004C22B9" w:rsidP="004C22B9">
            <w:pPr>
              <w:jc w:val="center"/>
              <w:rPr>
                <w:rFonts w:ascii="Arial" w:hAnsi="Arial" w:cs="Arial"/>
                <w:b/>
                <w:lang w:eastAsia="ja-JP"/>
              </w:rPr>
            </w:pPr>
          </w:p>
        </w:tc>
        <w:tc>
          <w:tcPr>
            <w:tcW w:w="1387" w:type="dxa"/>
            <w:vMerge w:val="restart"/>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Licence</w:t>
            </w:r>
          </w:p>
        </w:tc>
        <w:tc>
          <w:tcPr>
            <w:tcW w:w="1392" w:type="dxa"/>
            <w:vMerge w:val="restart"/>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Account</w:t>
            </w:r>
          </w:p>
        </w:tc>
        <w:tc>
          <w:tcPr>
            <w:tcW w:w="1349" w:type="dxa"/>
            <w:vMerge w:val="restart"/>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Nominal value</w:t>
            </w:r>
          </w:p>
          <w:p w:rsidR="004C22B9" w:rsidRPr="002552DB" w:rsidRDefault="004C22B9" w:rsidP="004C22B9">
            <w:pPr>
              <w:jc w:val="center"/>
              <w:rPr>
                <w:rFonts w:ascii="Arial" w:hAnsi="Arial" w:cs="Arial"/>
                <w:b/>
                <w:lang w:eastAsia="ja-JP"/>
              </w:rPr>
            </w:pPr>
            <w:r w:rsidRPr="002552DB">
              <w:rPr>
                <w:rFonts w:ascii="Arial" w:hAnsi="Arial" w:cs="Arial"/>
                <w:b/>
                <w:lang w:eastAsia="ja-JP"/>
              </w:rPr>
              <w:t>(GL)</w:t>
            </w:r>
          </w:p>
        </w:tc>
        <w:tc>
          <w:tcPr>
            <w:tcW w:w="1340" w:type="dxa"/>
            <w:vMerge w:val="restart"/>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Carryover of balance</w:t>
            </w:r>
          </w:p>
          <w:p w:rsidR="004C22B9" w:rsidRPr="002552DB" w:rsidRDefault="004C22B9" w:rsidP="004C22B9">
            <w:pPr>
              <w:jc w:val="center"/>
              <w:rPr>
                <w:rFonts w:ascii="Arial" w:hAnsi="Arial" w:cs="Arial"/>
                <w:b/>
                <w:lang w:eastAsia="ja-JP"/>
              </w:rPr>
            </w:pPr>
            <w:r w:rsidRPr="002552DB">
              <w:rPr>
                <w:rFonts w:ascii="Arial" w:hAnsi="Arial" w:cs="Arial"/>
                <w:b/>
                <w:lang w:eastAsia="ja-JP"/>
              </w:rPr>
              <w:t>(GL)</w:t>
            </w:r>
          </w:p>
        </w:tc>
        <w:tc>
          <w:tcPr>
            <w:tcW w:w="2705" w:type="dxa"/>
            <w:gridSpan w:val="2"/>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Allocation</w:t>
            </w:r>
          </w:p>
        </w:tc>
        <w:tc>
          <w:tcPr>
            <w:tcW w:w="2698" w:type="dxa"/>
            <w:gridSpan w:val="2"/>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Environmental Use (GL)</w:t>
            </w:r>
          </w:p>
        </w:tc>
        <w:tc>
          <w:tcPr>
            <w:tcW w:w="1343" w:type="dxa"/>
            <w:vMerge w:val="restart"/>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Closing Balance</w:t>
            </w:r>
          </w:p>
          <w:p w:rsidR="004C22B9" w:rsidRPr="002552DB" w:rsidRDefault="004C22B9" w:rsidP="004C22B9">
            <w:pPr>
              <w:jc w:val="center"/>
              <w:rPr>
                <w:rFonts w:ascii="Arial" w:hAnsi="Arial" w:cs="Arial"/>
                <w:b/>
                <w:lang w:eastAsia="ja-JP"/>
              </w:rPr>
            </w:pPr>
            <w:r w:rsidRPr="002552DB">
              <w:rPr>
                <w:rFonts w:ascii="Arial" w:hAnsi="Arial" w:cs="Arial"/>
                <w:b/>
                <w:lang w:eastAsia="ja-JP"/>
              </w:rPr>
              <w:t>(GL)</w:t>
            </w:r>
          </w:p>
        </w:tc>
      </w:tr>
      <w:tr w:rsidR="004C22B9" w:rsidRPr="002552DB" w:rsidTr="00591E22">
        <w:tc>
          <w:tcPr>
            <w:tcW w:w="1734" w:type="dxa"/>
            <w:vMerge/>
            <w:tcBorders>
              <w:left w:val="nil"/>
            </w:tcBorders>
            <w:shd w:val="clear" w:color="auto" w:fill="FFFFFF" w:themeFill="background1"/>
            <w:vAlign w:val="center"/>
          </w:tcPr>
          <w:p w:rsidR="004C22B9" w:rsidRPr="002552DB" w:rsidRDefault="004C22B9" w:rsidP="004C22B9">
            <w:pPr>
              <w:jc w:val="center"/>
              <w:rPr>
                <w:rFonts w:ascii="Arial" w:hAnsi="Arial" w:cs="Arial"/>
                <w:b/>
                <w:lang w:eastAsia="ja-JP"/>
              </w:rPr>
            </w:pPr>
          </w:p>
        </w:tc>
        <w:tc>
          <w:tcPr>
            <w:tcW w:w="1387" w:type="dxa"/>
            <w:vMerge/>
            <w:shd w:val="clear" w:color="auto" w:fill="FFFFFF" w:themeFill="background1"/>
            <w:vAlign w:val="center"/>
          </w:tcPr>
          <w:p w:rsidR="004C22B9" w:rsidRPr="002552DB" w:rsidRDefault="004C22B9" w:rsidP="004C22B9">
            <w:pPr>
              <w:jc w:val="center"/>
              <w:rPr>
                <w:rFonts w:ascii="Arial" w:hAnsi="Arial" w:cs="Arial"/>
                <w:b/>
                <w:lang w:eastAsia="ja-JP"/>
              </w:rPr>
            </w:pPr>
          </w:p>
        </w:tc>
        <w:tc>
          <w:tcPr>
            <w:tcW w:w="1392" w:type="dxa"/>
            <w:vMerge/>
            <w:shd w:val="clear" w:color="auto" w:fill="FFFFFF" w:themeFill="background1"/>
            <w:vAlign w:val="center"/>
          </w:tcPr>
          <w:p w:rsidR="004C22B9" w:rsidRPr="002552DB" w:rsidRDefault="004C22B9" w:rsidP="004C22B9">
            <w:pPr>
              <w:jc w:val="center"/>
              <w:rPr>
                <w:rFonts w:ascii="Arial" w:hAnsi="Arial" w:cs="Arial"/>
                <w:b/>
                <w:lang w:eastAsia="ja-JP"/>
              </w:rPr>
            </w:pPr>
          </w:p>
        </w:tc>
        <w:tc>
          <w:tcPr>
            <w:tcW w:w="1349" w:type="dxa"/>
            <w:vMerge/>
            <w:shd w:val="clear" w:color="auto" w:fill="FFFFFF" w:themeFill="background1"/>
            <w:vAlign w:val="center"/>
          </w:tcPr>
          <w:p w:rsidR="004C22B9" w:rsidRPr="002552DB" w:rsidRDefault="004C22B9" w:rsidP="004C22B9">
            <w:pPr>
              <w:jc w:val="center"/>
              <w:rPr>
                <w:rFonts w:ascii="Arial" w:hAnsi="Arial" w:cs="Arial"/>
                <w:b/>
                <w:lang w:eastAsia="ja-JP"/>
              </w:rPr>
            </w:pPr>
          </w:p>
        </w:tc>
        <w:tc>
          <w:tcPr>
            <w:tcW w:w="1340" w:type="dxa"/>
            <w:vMerge/>
            <w:shd w:val="clear" w:color="auto" w:fill="FFFFFF" w:themeFill="background1"/>
            <w:vAlign w:val="center"/>
          </w:tcPr>
          <w:p w:rsidR="004C22B9" w:rsidRPr="002552DB" w:rsidRDefault="004C22B9" w:rsidP="004C22B9">
            <w:pPr>
              <w:jc w:val="center"/>
              <w:rPr>
                <w:rFonts w:ascii="Arial" w:hAnsi="Arial" w:cs="Arial"/>
                <w:b/>
                <w:lang w:eastAsia="ja-JP"/>
              </w:rPr>
            </w:pPr>
          </w:p>
        </w:tc>
        <w:tc>
          <w:tcPr>
            <w:tcW w:w="1356" w:type="dxa"/>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w:t>
            </w:r>
          </w:p>
        </w:tc>
        <w:tc>
          <w:tcPr>
            <w:tcW w:w="1349" w:type="dxa"/>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GL</w:t>
            </w:r>
          </w:p>
        </w:tc>
        <w:tc>
          <w:tcPr>
            <w:tcW w:w="1349" w:type="dxa"/>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Planned</w:t>
            </w:r>
          </w:p>
        </w:tc>
        <w:tc>
          <w:tcPr>
            <w:tcW w:w="1349" w:type="dxa"/>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Actual</w:t>
            </w:r>
          </w:p>
        </w:tc>
        <w:tc>
          <w:tcPr>
            <w:tcW w:w="1343" w:type="dxa"/>
            <w:vMerge/>
            <w:shd w:val="clear" w:color="auto" w:fill="FFFFFF" w:themeFill="background1"/>
            <w:vAlign w:val="center"/>
          </w:tcPr>
          <w:p w:rsidR="004C22B9" w:rsidRPr="002552DB" w:rsidRDefault="004C22B9" w:rsidP="004C22B9">
            <w:pPr>
              <w:jc w:val="center"/>
              <w:rPr>
                <w:rFonts w:ascii="Arial" w:hAnsi="Arial" w:cs="Arial"/>
                <w:b/>
                <w:lang w:eastAsia="ja-JP"/>
              </w:rPr>
            </w:pPr>
          </w:p>
        </w:tc>
      </w:tr>
      <w:tr w:rsidR="004C22B9" w:rsidRPr="002552DB" w:rsidTr="00591E22">
        <w:tc>
          <w:tcPr>
            <w:tcW w:w="1734" w:type="dxa"/>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High Reliability Water Entitlement</w:t>
            </w:r>
          </w:p>
        </w:tc>
        <w:tc>
          <w:tcPr>
            <w:tcW w:w="1387"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SA213146</w:t>
            </w:r>
          </w:p>
          <w:p w:rsidR="004C22B9" w:rsidRPr="002552DB" w:rsidRDefault="004C22B9" w:rsidP="004C22B9">
            <w:pPr>
              <w:jc w:val="center"/>
              <w:rPr>
                <w:rFonts w:ascii="Arial" w:hAnsi="Arial" w:cs="Arial"/>
                <w:lang w:eastAsia="ja-JP"/>
              </w:rPr>
            </w:pPr>
            <w:r w:rsidRPr="002552DB">
              <w:rPr>
                <w:rFonts w:ascii="Arial" w:hAnsi="Arial" w:cs="Arial"/>
                <w:lang w:eastAsia="ja-JP"/>
              </w:rPr>
              <w:t>Class 3a</w:t>
            </w:r>
          </w:p>
        </w:tc>
        <w:tc>
          <w:tcPr>
            <w:tcW w:w="1392"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SA213146-0-10009</w:t>
            </w:r>
          </w:p>
        </w:tc>
        <w:tc>
          <w:tcPr>
            <w:tcW w:w="1349"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2</w:t>
            </w:r>
          </w:p>
        </w:tc>
        <w:tc>
          <w:tcPr>
            <w:tcW w:w="1340"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w:t>
            </w:r>
          </w:p>
        </w:tc>
        <w:tc>
          <w:tcPr>
            <w:tcW w:w="1356"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100</w:t>
            </w:r>
          </w:p>
        </w:tc>
        <w:tc>
          <w:tcPr>
            <w:tcW w:w="1349"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2</w:t>
            </w:r>
          </w:p>
        </w:tc>
        <w:tc>
          <w:tcPr>
            <w:tcW w:w="1349"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2</w:t>
            </w:r>
          </w:p>
        </w:tc>
        <w:tc>
          <w:tcPr>
            <w:tcW w:w="1349"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2</w:t>
            </w:r>
          </w:p>
        </w:tc>
        <w:tc>
          <w:tcPr>
            <w:tcW w:w="1343"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0</w:t>
            </w:r>
          </w:p>
        </w:tc>
      </w:tr>
      <w:tr w:rsidR="004C22B9" w:rsidRPr="002552DB" w:rsidTr="00591E22">
        <w:tc>
          <w:tcPr>
            <w:tcW w:w="1734" w:type="dxa"/>
            <w:shd w:val="clear" w:color="auto" w:fill="FFFFFF" w:themeFill="background1"/>
            <w:vAlign w:val="center"/>
          </w:tcPr>
          <w:p w:rsidR="004C22B9" w:rsidRPr="002552DB" w:rsidRDefault="004C22B9" w:rsidP="004C22B9">
            <w:pPr>
              <w:jc w:val="center"/>
              <w:rPr>
                <w:rFonts w:ascii="Arial" w:hAnsi="Arial" w:cs="Arial"/>
                <w:b/>
                <w:lang w:eastAsia="ja-JP"/>
              </w:rPr>
            </w:pPr>
            <w:r w:rsidRPr="002552DB">
              <w:rPr>
                <w:rFonts w:ascii="Arial" w:hAnsi="Arial" w:cs="Arial"/>
                <w:b/>
                <w:lang w:eastAsia="ja-JP"/>
              </w:rPr>
              <w:t>Environmental Provision</w:t>
            </w:r>
          </w:p>
        </w:tc>
        <w:tc>
          <w:tcPr>
            <w:tcW w:w="1387" w:type="dxa"/>
            <w:shd w:val="clear" w:color="auto" w:fill="FFFFFF" w:themeFill="background1"/>
            <w:vAlign w:val="center"/>
          </w:tcPr>
          <w:p w:rsidR="004C22B9" w:rsidRPr="002552DB" w:rsidRDefault="004C22B9" w:rsidP="004C22B9">
            <w:pPr>
              <w:jc w:val="center"/>
              <w:rPr>
                <w:rFonts w:ascii="Arial" w:hAnsi="Arial" w:cs="Arial"/>
                <w:lang w:eastAsia="ja-JP"/>
              </w:rPr>
            </w:pPr>
          </w:p>
        </w:tc>
        <w:tc>
          <w:tcPr>
            <w:tcW w:w="1392"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SA213146-0-10009</w:t>
            </w:r>
            <w:r w:rsidR="002552DB" w:rsidRPr="002552DB">
              <w:rPr>
                <w:rStyle w:val="FootnoteReference"/>
                <w:rFonts w:ascii="Arial" w:hAnsi="Arial" w:cs="Arial"/>
                <w:lang w:eastAsia="ja-JP"/>
              </w:rPr>
              <w:footnoteReference w:id="1"/>
            </w:r>
          </w:p>
        </w:tc>
        <w:tc>
          <w:tcPr>
            <w:tcW w:w="1349"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12</w:t>
            </w:r>
          </w:p>
        </w:tc>
        <w:tc>
          <w:tcPr>
            <w:tcW w:w="1340"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w:t>
            </w:r>
          </w:p>
        </w:tc>
        <w:tc>
          <w:tcPr>
            <w:tcW w:w="1356"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100</w:t>
            </w:r>
          </w:p>
        </w:tc>
        <w:tc>
          <w:tcPr>
            <w:tcW w:w="1349"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12</w:t>
            </w:r>
          </w:p>
        </w:tc>
        <w:tc>
          <w:tcPr>
            <w:tcW w:w="1349"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12</w:t>
            </w:r>
          </w:p>
        </w:tc>
        <w:tc>
          <w:tcPr>
            <w:tcW w:w="1349"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12</w:t>
            </w:r>
          </w:p>
        </w:tc>
        <w:tc>
          <w:tcPr>
            <w:tcW w:w="1343" w:type="dxa"/>
            <w:shd w:val="clear" w:color="auto" w:fill="FFFFFF" w:themeFill="background1"/>
            <w:vAlign w:val="center"/>
          </w:tcPr>
          <w:p w:rsidR="004C22B9" w:rsidRPr="002552DB" w:rsidRDefault="004C22B9" w:rsidP="004C22B9">
            <w:pPr>
              <w:jc w:val="center"/>
              <w:rPr>
                <w:rFonts w:ascii="Arial" w:hAnsi="Arial" w:cs="Arial"/>
                <w:lang w:eastAsia="ja-JP"/>
              </w:rPr>
            </w:pPr>
            <w:r w:rsidRPr="002552DB">
              <w:rPr>
                <w:rFonts w:ascii="Arial" w:hAnsi="Arial" w:cs="Arial"/>
                <w:lang w:eastAsia="ja-JP"/>
              </w:rPr>
              <w:t>0</w:t>
            </w:r>
          </w:p>
        </w:tc>
      </w:tr>
    </w:tbl>
    <w:p w:rsidR="004C22B9" w:rsidRPr="002552DB" w:rsidRDefault="004C22B9" w:rsidP="004C22B9">
      <w:pPr>
        <w:rPr>
          <w:rFonts w:ascii="Arial" w:hAnsi="Arial" w:cs="Arial"/>
          <w:b/>
          <w:lang w:eastAsia="ja-JP"/>
        </w:rPr>
      </w:pPr>
    </w:p>
    <w:p w:rsidR="004C22B9" w:rsidRPr="002552DB" w:rsidRDefault="004C22B9" w:rsidP="004C22B9">
      <w:pPr>
        <w:rPr>
          <w:rFonts w:ascii="Arial" w:hAnsi="Arial" w:cs="Arial"/>
          <w:b/>
          <w:lang w:eastAsia="ja-JP"/>
        </w:rPr>
      </w:pPr>
    </w:p>
    <w:p w:rsidR="004C22B9" w:rsidRPr="002552DB" w:rsidRDefault="004C22B9" w:rsidP="004C22B9">
      <w:pPr>
        <w:rPr>
          <w:rFonts w:ascii="Arial" w:hAnsi="Arial" w:cs="Arial"/>
          <w:b/>
          <w:lang w:eastAsia="ja-JP"/>
        </w:rPr>
      </w:pPr>
      <w:r w:rsidRPr="002552DB">
        <w:rPr>
          <w:rFonts w:ascii="Arial" w:hAnsi="Arial" w:cs="Arial"/>
          <w:b/>
          <w:lang w:eastAsia="ja-JP"/>
        </w:rPr>
        <w:t>Watering Locations:</w:t>
      </w:r>
    </w:p>
    <w:p w:rsidR="004C22B9" w:rsidRPr="002552DB" w:rsidRDefault="004C22B9" w:rsidP="004C22B9">
      <w:pPr>
        <w:rPr>
          <w:rFonts w:ascii="Arial" w:hAnsi="Arial" w:cs="Arial"/>
          <w:u w:val="single"/>
          <w:lang w:eastAsia="ja-JP"/>
        </w:rPr>
      </w:pPr>
      <w:r w:rsidRPr="002552DB">
        <w:rPr>
          <w:rFonts w:ascii="Arial" w:hAnsi="Arial" w:cs="Arial"/>
          <w:u w:val="single"/>
          <w:lang w:eastAsia="ja-JP"/>
        </w:rPr>
        <w:t>1, Lower Lakes. Coorong and Murray Mouth</w:t>
      </w:r>
    </w:p>
    <w:p w:rsidR="004C22B9" w:rsidRPr="002552DB" w:rsidRDefault="004C22B9" w:rsidP="004C22B9">
      <w:pPr>
        <w:rPr>
          <w:rFonts w:ascii="Arial" w:hAnsi="Arial" w:cs="Arial"/>
          <w:b/>
          <w:lang w:eastAsia="ja-JP"/>
        </w:rPr>
      </w:pPr>
      <w:r w:rsidRPr="002552DB">
        <w:rPr>
          <w:rFonts w:ascii="Arial" w:hAnsi="Arial" w:cs="Arial"/>
          <w:b/>
          <w:lang w:eastAsia="ja-JP"/>
        </w:rPr>
        <w:t>Periods of Watering:</w:t>
      </w:r>
    </w:p>
    <w:p w:rsidR="004C22B9" w:rsidRPr="002552DB" w:rsidRDefault="004C22B9" w:rsidP="004C22B9">
      <w:pPr>
        <w:rPr>
          <w:rFonts w:ascii="Arial" w:hAnsi="Arial" w:cs="Arial"/>
          <w:lang w:eastAsia="ja-JP"/>
        </w:rPr>
      </w:pPr>
      <w:r w:rsidRPr="002552DB">
        <w:rPr>
          <w:rFonts w:ascii="Arial" w:hAnsi="Arial" w:cs="Arial"/>
          <w:lang w:eastAsia="ja-JP"/>
        </w:rPr>
        <w:t>1 Dec 2012 - 30 Jan 2013 (12 GL)</w:t>
      </w:r>
    </w:p>
    <w:p w:rsidR="004C22B9" w:rsidRPr="002552DB" w:rsidRDefault="004C22B9" w:rsidP="004C22B9">
      <w:pPr>
        <w:rPr>
          <w:rFonts w:ascii="Arial" w:hAnsi="Arial" w:cs="Arial"/>
          <w:b/>
          <w:lang w:eastAsia="ja-JP"/>
        </w:rPr>
      </w:pPr>
      <w:r w:rsidRPr="002552DB">
        <w:rPr>
          <w:rFonts w:ascii="Arial" w:hAnsi="Arial" w:cs="Arial"/>
          <w:b/>
          <w:lang w:eastAsia="ja-JP"/>
        </w:rPr>
        <w:t>Site Watering Objectives including Expected Ecological Outcomes:</w:t>
      </w:r>
    </w:p>
    <w:p w:rsidR="004C22B9" w:rsidRPr="002552DB" w:rsidRDefault="004C22B9" w:rsidP="004C22B9">
      <w:pPr>
        <w:rPr>
          <w:rFonts w:ascii="Arial" w:hAnsi="Arial" w:cs="Arial"/>
          <w:lang w:eastAsia="ja-JP"/>
        </w:rPr>
      </w:pPr>
      <w:r w:rsidRPr="002552DB">
        <w:rPr>
          <w:rFonts w:ascii="Arial" w:hAnsi="Arial" w:cs="Arial"/>
          <w:lang w:eastAsia="ja-JP"/>
        </w:rPr>
        <w:t xml:space="preserve">Provide water to keep Lake Alexandrina salinity less </w:t>
      </w:r>
      <w:proofErr w:type="spellStart"/>
      <w:r w:rsidRPr="002552DB">
        <w:rPr>
          <w:rFonts w:ascii="Arial" w:hAnsi="Arial" w:cs="Arial"/>
          <w:lang w:eastAsia="ja-JP"/>
        </w:rPr>
        <w:t>that</w:t>
      </w:r>
      <w:proofErr w:type="spellEnd"/>
      <w:r w:rsidRPr="002552DB">
        <w:rPr>
          <w:rFonts w:ascii="Arial" w:hAnsi="Arial" w:cs="Arial"/>
          <w:lang w:eastAsia="ja-JP"/>
        </w:rPr>
        <w:t xml:space="preserve"> 1,000 EC for the whole year</w:t>
      </w:r>
    </w:p>
    <w:p w:rsidR="004C22B9" w:rsidRPr="002552DB" w:rsidRDefault="00941279" w:rsidP="004C22B9">
      <w:pPr>
        <w:rPr>
          <w:rFonts w:ascii="Arial" w:hAnsi="Arial" w:cs="Arial"/>
          <w:lang w:eastAsia="ja-JP"/>
        </w:rPr>
      </w:pPr>
      <w:r>
        <w:rPr>
          <w:rFonts w:ascii="Arial" w:hAnsi="Arial" w:cs="Arial"/>
          <w:lang w:eastAsia="ja-JP"/>
        </w:rPr>
        <w:t xml:space="preserve">Provide water for </w:t>
      </w:r>
      <w:proofErr w:type="spellStart"/>
      <w:r>
        <w:rPr>
          <w:rFonts w:ascii="Arial" w:hAnsi="Arial" w:cs="Arial"/>
          <w:lang w:eastAsia="ja-JP"/>
        </w:rPr>
        <w:t>fi</w:t>
      </w:r>
      <w:r w:rsidR="004C22B9" w:rsidRPr="002552DB">
        <w:rPr>
          <w:rFonts w:ascii="Arial" w:hAnsi="Arial" w:cs="Arial"/>
          <w:lang w:eastAsia="ja-JP"/>
        </w:rPr>
        <w:t>shways</w:t>
      </w:r>
      <w:proofErr w:type="spellEnd"/>
      <w:r w:rsidR="004C22B9" w:rsidRPr="002552DB">
        <w:rPr>
          <w:rFonts w:ascii="Arial" w:hAnsi="Arial" w:cs="Arial"/>
          <w:lang w:eastAsia="ja-JP"/>
        </w:rPr>
        <w:t xml:space="preserve"> to enable continuous releases for connectivity between the lakes and Coorong</w:t>
      </w:r>
    </w:p>
    <w:p w:rsidR="00941279" w:rsidRDefault="00941279">
      <w:pPr>
        <w:spacing w:before="0"/>
        <w:rPr>
          <w:rFonts w:ascii="Arial" w:hAnsi="Arial" w:cs="Arial"/>
          <w:b/>
          <w:lang w:eastAsia="ja-JP"/>
        </w:rPr>
      </w:pPr>
      <w:r>
        <w:rPr>
          <w:rFonts w:ascii="Arial" w:hAnsi="Arial" w:cs="Arial"/>
          <w:b/>
          <w:lang w:eastAsia="ja-JP"/>
        </w:rPr>
        <w:br w:type="page"/>
      </w:r>
    </w:p>
    <w:p w:rsidR="004C22B9" w:rsidRPr="002552DB" w:rsidRDefault="004C22B9" w:rsidP="004C22B9">
      <w:pPr>
        <w:rPr>
          <w:rFonts w:ascii="Arial" w:hAnsi="Arial" w:cs="Arial"/>
          <w:b/>
          <w:lang w:eastAsia="ja-JP"/>
        </w:rPr>
      </w:pPr>
      <w:r w:rsidRPr="002552DB">
        <w:rPr>
          <w:rFonts w:ascii="Arial" w:hAnsi="Arial" w:cs="Arial"/>
          <w:b/>
          <w:lang w:eastAsia="ja-JP"/>
        </w:rPr>
        <w:lastRenderedPageBreak/>
        <w:t>Observed Ecological Outcomes:</w:t>
      </w:r>
    </w:p>
    <w:p w:rsidR="004C22B9" w:rsidRPr="002552DB" w:rsidRDefault="00941279" w:rsidP="004C22B9">
      <w:pPr>
        <w:rPr>
          <w:rFonts w:ascii="Arial" w:hAnsi="Arial" w:cs="Arial"/>
          <w:lang w:eastAsia="ja-JP"/>
        </w:rPr>
      </w:pPr>
      <w:r>
        <w:rPr>
          <w:rFonts w:ascii="Arial" w:hAnsi="Arial" w:cs="Arial"/>
          <w:lang w:eastAsia="ja-JP"/>
        </w:rPr>
        <w:t>Lake Alexandrina</w:t>
      </w:r>
      <w:r w:rsidR="004C22B9" w:rsidRPr="002552DB">
        <w:rPr>
          <w:rFonts w:ascii="Arial" w:hAnsi="Arial" w:cs="Arial"/>
          <w:lang w:eastAsia="ja-JP"/>
        </w:rPr>
        <w:t xml:space="preserve"> salinity remained below 1,000 EC for the whole year</w:t>
      </w:r>
    </w:p>
    <w:p w:rsidR="004C22B9" w:rsidRPr="002552DB" w:rsidRDefault="004C22B9" w:rsidP="004C22B9">
      <w:pPr>
        <w:rPr>
          <w:rFonts w:ascii="Arial" w:hAnsi="Arial" w:cs="Arial"/>
          <w:lang w:eastAsia="ja-JP"/>
        </w:rPr>
      </w:pPr>
      <w:r w:rsidRPr="002552DB">
        <w:rPr>
          <w:rFonts w:ascii="Arial" w:hAnsi="Arial" w:cs="Arial"/>
          <w:lang w:eastAsia="ja-JP"/>
        </w:rPr>
        <w:t xml:space="preserve">There were continuous barrage and </w:t>
      </w:r>
      <w:proofErr w:type="spellStart"/>
      <w:r w:rsidRPr="002552DB">
        <w:rPr>
          <w:rFonts w:ascii="Arial" w:hAnsi="Arial" w:cs="Arial"/>
          <w:lang w:eastAsia="ja-JP"/>
        </w:rPr>
        <w:t>fishway</w:t>
      </w:r>
      <w:proofErr w:type="spellEnd"/>
      <w:r w:rsidRPr="002552DB">
        <w:rPr>
          <w:rFonts w:ascii="Arial" w:hAnsi="Arial" w:cs="Arial"/>
          <w:lang w:eastAsia="ja-JP"/>
        </w:rPr>
        <w:t xml:space="preserve"> releases for the whole year</w:t>
      </w:r>
    </w:p>
    <w:p w:rsidR="004C22B9" w:rsidRPr="002552DB" w:rsidRDefault="004C22B9" w:rsidP="004C22B9">
      <w:pPr>
        <w:rPr>
          <w:rFonts w:ascii="Arial" w:hAnsi="Arial" w:cs="Arial"/>
          <w:lang w:eastAsia="ja-JP"/>
        </w:rPr>
      </w:pPr>
      <w:r w:rsidRPr="002552DB">
        <w:rPr>
          <w:rFonts w:ascii="Arial" w:hAnsi="Arial" w:cs="Arial"/>
          <w:lang w:eastAsia="ja-JP"/>
        </w:rPr>
        <w:t>286,000 waterbirds were observed at the lakes and Coorong</w:t>
      </w:r>
    </w:p>
    <w:p w:rsidR="004C22B9" w:rsidRPr="002552DB" w:rsidRDefault="004C22B9" w:rsidP="004C22B9">
      <w:pPr>
        <w:rPr>
          <w:rFonts w:ascii="Arial" w:hAnsi="Arial" w:cs="Arial"/>
          <w:lang w:eastAsia="ja-JP"/>
        </w:rPr>
      </w:pPr>
      <w:r w:rsidRPr="002552DB">
        <w:rPr>
          <w:rFonts w:ascii="Arial" w:hAnsi="Arial" w:cs="Arial"/>
          <w:lang w:eastAsia="ja-JP"/>
        </w:rPr>
        <w:t>There was an increase in fish diversity in the South Lagoon of the Coorong</w:t>
      </w:r>
    </w:p>
    <w:p w:rsidR="004C22B9" w:rsidRPr="002552DB" w:rsidRDefault="004C22B9" w:rsidP="004C22B9">
      <w:pPr>
        <w:rPr>
          <w:rFonts w:ascii="Arial" w:hAnsi="Arial" w:cs="Arial"/>
          <w:lang w:eastAsia="ja-JP"/>
        </w:rPr>
      </w:pPr>
      <w:r w:rsidRPr="002552DB">
        <w:rPr>
          <w:rFonts w:ascii="Arial" w:hAnsi="Arial" w:cs="Arial"/>
          <w:lang w:eastAsia="ja-JP"/>
        </w:rPr>
        <w:t>Black bream recruitment occurred for the first time since the drought in the North Lagoon of the Coorong</w:t>
      </w:r>
    </w:p>
    <w:p w:rsidR="004C22B9" w:rsidRPr="002552DB" w:rsidRDefault="004C22B9" w:rsidP="004C22B9">
      <w:pPr>
        <w:rPr>
          <w:rFonts w:ascii="Arial" w:hAnsi="Arial" w:cs="Arial"/>
          <w:b/>
          <w:lang w:eastAsia="ja-JP"/>
        </w:rPr>
      </w:pPr>
      <w:r w:rsidRPr="002552DB">
        <w:rPr>
          <w:rFonts w:ascii="Arial" w:hAnsi="Arial" w:cs="Arial"/>
          <w:b/>
          <w:lang w:eastAsia="ja-JP"/>
        </w:rPr>
        <w:t>SA Comments:</w:t>
      </w:r>
    </w:p>
    <w:p w:rsidR="004C22B9" w:rsidRPr="002552DB" w:rsidRDefault="004C22B9" w:rsidP="004C22B9">
      <w:pPr>
        <w:rPr>
          <w:rFonts w:ascii="Arial" w:hAnsi="Arial" w:cs="Arial"/>
          <w:lang w:eastAsia="ja-JP"/>
        </w:rPr>
      </w:pPr>
      <w:r w:rsidRPr="002552DB">
        <w:rPr>
          <w:rFonts w:ascii="Arial" w:hAnsi="Arial" w:cs="Arial"/>
          <w:lang w:eastAsia="ja-JP"/>
        </w:rPr>
        <w:t>The Coorong is recoverin</w:t>
      </w:r>
      <w:r w:rsidR="00941279">
        <w:rPr>
          <w:rFonts w:ascii="Arial" w:hAnsi="Arial" w:cs="Arial"/>
          <w:lang w:eastAsia="ja-JP"/>
        </w:rPr>
        <w:t xml:space="preserve">g slowly from the drought. </w:t>
      </w:r>
      <w:proofErr w:type="spellStart"/>
      <w:r w:rsidR="00941279">
        <w:rPr>
          <w:rFonts w:ascii="Arial" w:hAnsi="Arial" w:cs="Arial"/>
          <w:lang w:eastAsia="ja-JP"/>
        </w:rPr>
        <w:t>Ruppi</w:t>
      </w:r>
      <w:r w:rsidRPr="002552DB">
        <w:rPr>
          <w:rFonts w:ascii="Arial" w:hAnsi="Arial" w:cs="Arial"/>
          <w:lang w:eastAsia="ja-JP"/>
        </w:rPr>
        <w:t>a</w:t>
      </w:r>
      <w:proofErr w:type="spellEnd"/>
      <w:r w:rsidRPr="002552DB">
        <w:rPr>
          <w:rFonts w:ascii="Arial" w:hAnsi="Arial" w:cs="Arial"/>
          <w:lang w:eastAsia="ja-JP"/>
        </w:rPr>
        <w:t xml:space="preserve"> </w:t>
      </w:r>
      <w:proofErr w:type="spellStart"/>
      <w:r w:rsidRPr="002552DB">
        <w:rPr>
          <w:rFonts w:ascii="Arial" w:hAnsi="Arial" w:cs="Arial"/>
          <w:lang w:eastAsia="ja-JP"/>
        </w:rPr>
        <w:t>tuberosa</w:t>
      </w:r>
      <w:proofErr w:type="spellEnd"/>
      <w:r w:rsidRPr="002552DB">
        <w:rPr>
          <w:rFonts w:ascii="Arial" w:hAnsi="Arial" w:cs="Arial"/>
          <w:lang w:eastAsia="ja-JP"/>
        </w:rPr>
        <w:t xml:space="preserve">, an </w:t>
      </w:r>
      <w:r w:rsidR="00941279" w:rsidRPr="002552DB">
        <w:rPr>
          <w:rFonts w:ascii="Arial" w:hAnsi="Arial" w:cs="Arial"/>
          <w:lang w:eastAsia="ja-JP"/>
        </w:rPr>
        <w:t>important</w:t>
      </w:r>
      <w:r w:rsidRPr="002552DB">
        <w:rPr>
          <w:rFonts w:ascii="Arial" w:hAnsi="Arial" w:cs="Arial"/>
          <w:lang w:eastAsia="ja-JP"/>
        </w:rPr>
        <w:t xml:space="preserve"> plant species in the Coorong, has not yet recovered and environmental needs to be provided earlier in sprin</w:t>
      </w:r>
      <w:r w:rsidR="00941279">
        <w:rPr>
          <w:rFonts w:ascii="Arial" w:hAnsi="Arial" w:cs="Arial"/>
          <w:lang w:eastAsia="ja-JP"/>
        </w:rPr>
        <w:t>g and maintained for the whole l</w:t>
      </w:r>
      <w:r w:rsidRPr="002552DB">
        <w:rPr>
          <w:rFonts w:ascii="Arial" w:hAnsi="Arial" w:cs="Arial"/>
          <w:lang w:eastAsia="ja-JP"/>
        </w:rPr>
        <w:t>ifecycle of the plant.</w:t>
      </w:r>
    </w:p>
    <w:p w:rsidR="004C22B9" w:rsidRPr="002552DB" w:rsidRDefault="004C22B9" w:rsidP="004C22B9">
      <w:pPr>
        <w:rPr>
          <w:rFonts w:ascii="Arial" w:hAnsi="Arial" w:cs="Arial"/>
          <w:b/>
          <w:lang w:eastAsia="ja-JP"/>
        </w:rPr>
      </w:pPr>
      <w:r w:rsidRPr="002552DB">
        <w:rPr>
          <w:rFonts w:ascii="Arial" w:hAnsi="Arial" w:cs="Arial"/>
          <w:b/>
          <w:lang w:eastAsia="ja-JP"/>
        </w:rPr>
        <w:t>Watering Locations:</w:t>
      </w:r>
    </w:p>
    <w:p w:rsidR="004C22B9" w:rsidRPr="002552DB" w:rsidRDefault="004C22B9" w:rsidP="004C22B9">
      <w:pPr>
        <w:rPr>
          <w:rFonts w:ascii="Arial" w:hAnsi="Arial" w:cs="Arial"/>
          <w:u w:val="single"/>
          <w:lang w:eastAsia="ja-JP"/>
        </w:rPr>
      </w:pPr>
      <w:r w:rsidRPr="002552DB">
        <w:rPr>
          <w:rFonts w:ascii="Arial" w:hAnsi="Arial" w:cs="Arial"/>
          <w:u w:val="single"/>
          <w:lang w:eastAsia="ja-JP"/>
        </w:rPr>
        <w:t>2. Channel inclu</w:t>
      </w:r>
      <w:r w:rsidR="00941279">
        <w:rPr>
          <w:rFonts w:ascii="Arial" w:hAnsi="Arial" w:cs="Arial"/>
          <w:u w:val="single"/>
          <w:lang w:eastAsia="ja-JP"/>
        </w:rPr>
        <w:t>ding Berri Evaporation Basin. (</w:t>
      </w:r>
      <w:proofErr w:type="spellStart"/>
      <w:r w:rsidR="00941279">
        <w:rPr>
          <w:rFonts w:ascii="Arial" w:hAnsi="Arial" w:cs="Arial"/>
          <w:u w:val="single"/>
          <w:lang w:eastAsia="ja-JP"/>
        </w:rPr>
        <w:t>D</w:t>
      </w:r>
      <w:r w:rsidRPr="002552DB">
        <w:rPr>
          <w:rFonts w:ascii="Arial" w:hAnsi="Arial" w:cs="Arial"/>
          <w:u w:val="single"/>
          <w:lang w:eastAsia="ja-JP"/>
        </w:rPr>
        <w:t>ishers</w:t>
      </w:r>
      <w:proofErr w:type="spellEnd"/>
      <w:r w:rsidRPr="002552DB">
        <w:rPr>
          <w:rFonts w:ascii="Arial" w:hAnsi="Arial" w:cs="Arial"/>
          <w:u w:val="single"/>
          <w:lang w:eastAsia="ja-JP"/>
        </w:rPr>
        <w:t xml:space="preserve"> Creek and Bookmark Creek</w:t>
      </w:r>
    </w:p>
    <w:p w:rsidR="004C22B9" w:rsidRPr="002552DB" w:rsidRDefault="004C22B9" w:rsidP="004C22B9">
      <w:pPr>
        <w:rPr>
          <w:rFonts w:ascii="Arial" w:hAnsi="Arial" w:cs="Arial"/>
          <w:b/>
          <w:lang w:eastAsia="ja-JP"/>
        </w:rPr>
      </w:pPr>
      <w:r w:rsidRPr="002552DB">
        <w:rPr>
          <w:rFonts w:ascii="Arial" w:hAnsi="Arial" w:cs="Arial"/>
          <w:b/>
          <w:lang w:eastAsia="ja-JP"/>
        </w:rPr>
        <w:t>Periods of Watering:</w:t>
      </w:r>
    </w:p>
    <w:p w:rsidR="004C22B9" w:rsidRPr="002552DB" w:rsidRDefault="004C22B9" w:rsidP="004C22B9">
      <w:pPr>
        <w:rPr>
          <w:rFonts w:ascii="Arial" w:hAnsi="Arial" w:cs="Arial"/>
          <w:lang w:eastAsia="ja-JP"/>
        </w:rPr>
      </w:pPr>
      <w:r w:rsidRPr="002552DB">
        <w:rPr>
          <w:rFonts w:ascii="Arial" w:hAnsi="Arial" w:cs="Arial"/>
          <w:lang w:eastAsia="ja-JP"/>
        </w:rPr>
        <w:t>1 July 2012 - 30 Jan 2013 (2 G</w:t>
      </w:r>
      <w:r w:rsidR="00941279">
        <w:rPr>
          <w:rFonts w:ascii="Arial" w:hAnsi="Arial" w:cs="Arial"/>
          <w:lang w:eastAsia="ja-JP"/>
        </w:rPr>
        <w:t>L</w:t>
      </w:r>
      <w:r w:rsidRPr="002552DB">
        <w:rPr>
          <w:rFonts w:ascii="Arial" w:hAnsi="Arial" w:cs="Arial"/>
          <w:lang w:eastAsia="ja-JP"/>
        </w:rPr>
        <w:t>.)</w:t>
      </w:r>
    </w:p>
    <w:p w:rsidR="004C22B9" w:rsidRPr="002552DB" w:rsidRDefault="004C22B9" w:rsidP="004C22B9">
      <w:pPr>
        <w:rPr>
          <w:rFonts w:ascii="Arial" w:hAnsi="Arial" w:cs="Arial"/>
          <w:b/>
          <w:lang w:eastAsia="ja-JP"/>
        </w:rPr>
      </w:pPr>
      <w:r w:rsidRPr="002552DB">
        <w:rPr>
          <w:rFonts w:ascii="Arial" w:hAnsi="Arial" w:cs="Arial"/>
          <w:b/>
          <w:lang w:eastAsia="ja-JP"/>
        </w:rPr>
        <w:t>Site Watering Objectives including Expected Ecological Outcomes•.</w:t>
      </w:r>
    </w:p>
    <w:p w:rsidR="004C22B9" w:rsidRPr="002552DB" w:rsidRDefault="004C22B9" w:rsidP="004C22B9">
      <w:pPr>
        <w:rPr>
          <w:rFonts w:ascii="Arial" w:hAnsi="Arial" w:cs="Arial"/>
          <w:lang w:eastAsia="ja-JP"/>
        </w:rPr>
      </w:pPr>
      <w:r w:rsidRPr="002552DB">
        <w:rPr>
          <w:rFonts w:ascii="Arial" w:hAnsi="Arial" w:cs="Arial"/>
          <w:lang w:eastAsia="ja-JP"/>
        </w:rPr>
        <w:t xml:space="preserve">Provide dilution volumes to manage salinity and dissolved oxygen levels for the threatened species Murray </w:t>
      </w:r>
      <w:proofErr w:type="spellStart"/>
      <w:r w:rsidRPr="002552DB">
        <w:rPr>
          <w:rFonts w:ascii="Arial" w:hAnsi="Arial" w:cs="Arial"/>
          <w:lang w:eastAsia="ja-JP"/>
        </w:rPr>
        <w:t>hardyhead</w:t>
      </w:r>
      <w:proofErr w:type="spellEnd"/>
      <w:r w:rsidRPr="002552DB">
        <w:rPr>
          <w:rFonts w:ascii="Arial" w:hAnsi="Arial" w:cs="Arial"/>
          <w:lang w:eastAsia="ja-JP"/>
        </w:rPr>
        <w:t xml:space="preserve"> fish in Berri Evaporation Basin and </w:t>
      </w:r>
      <w:proofErr w:type="spellStart"/>
      <w:r w:rsidRPr="002552DB">
        <w:rPr>
          <w:rFonts w:ascii="Arial" w:hAnsi="Arial" w:cs="Arial"/>
          <w:lang w:eastAsia="ja-JP"/>
        </w:rPr>
        <w:t>Dishers</w:t>
      </w:r>
      <w:proofErr w:type="spellEnd"/>
      <w:r w:rsidRPr="002552DB">
        <w:rPr>
          <w:rFonts w:ascii="Arial" w:hAnsi="Arial" w:cs="Arial"/>
          <w:lang w:eastAsia="ja-JP"/>
        </w:rPr>
        <w:t xml:space="preserve"> Creek</w:t>
      </w:r>
    </w:p>
    <w:p w:rsidR="004C22B9" w:rsidRPr="002552DB" w:rsidRDefault="004C22B9" w:rsidP="004C22B9">
      <w:pPr>
        <w:rPr>
          <w:rFonts w:ascii="Arial" w:hAnsi="Arial" w:cs="Arial"/>
          <w:lang w:eastAsia="ja-JP"/>
        </w:rPr>
      </w:pPr>
      <w:r w:rsidRPr="002552DB">
        <w:rPr>
          <w:rFonts w:ascii="Arial" w:hAnsi="Arial" w:cs="Arial"/>
          <w:lang w:eastAsia="ja-JP"/>
        </w:rPr>
        <w:t>Provide flow through Bookmark Creek for fringing vegetation</w:t>
      </w:r>
    </w:p>
    <w:p w:rsidR="004C22B9" w:rsidRPr="002552DB" w:rsidRDefault="004C22B9" w:rsidP="004C22B9">
      <w:pPr>
        <w:rPr>
          <w:rFonts w:ascii="Arial" w:hAnsi="Arial" w:cs="Arial"/>
          <w:b/>
          <w:lang w:eastAsia="ja-JP"/>
        </w:rPr>
      </w:pPr>
      <w:r w:rsidRPr="002552DB">
        <w:rPr>
          <w:rFonts w:ascii="Arial" w:hAnsi="Arial" w:cs="Arial"/>
          <w:b/>
          <w:lang w:eastAsia="ja-JP"/>
        </w:rPr>
        <w:t>Observed Ecological Outcomes:</w:t>
      </w:r>
    </w:p>
    <w:p w:rsidR="004C22B9" w:rsidRPr="002552DB" w:rsidRDefault="004C22B9" w:rsidP="004C22B9">
      <w:pPr>
        <w:rPr>
          <w:rFonts w:ascii="Arial" w:hAnsi="Arial" w:cs="Arial"/>
          <w:lang w:eastAsia="ja-JP"/>
        </w:rPr>
      </w:pPr>
      <w:r w:rsidRPr="002552DB">
        <w:rPr>
          <w:rFonts w:ascii="Arial" w:hAnsi="Arial" w:cs="Arial"/>
          <w:lang w:eastAsia="ja-JP"/>
        </w:rPr>
        <w:t xml:space="preserve">The salinity and dissolved oxygen levels have been maintained within the limits suitable for Murray </w:t>
      </w:r>
      <w:proofErr w:type="spellStart"/>
      <w:r w:rsidRPr="002552DB">
        <w:rPr>
          <w:rFonts w:ascii="Arial" w:hAnsi="Arial" w:cs="Arial"/>
          <w:lang w:eastAsia="ja-JP"/>
        </w:rPr>
        <w:t>hardyhead</w:t>
      </w:r>
      <w:proofErr w:type="spellEnd"/>
      <w:r w:rsidRPr="002552DB">
        <w:rPr>
          <w:rFonts w:ascii="Arial" w:hAnsi="Arial" w:cs="Arial"/>
          <w:lang w:eastAsia="ja-JP"/>
        </w:rPr>
        <w:t xml:space="preserve"> at Berri Evaporation Basin and </w:t>
      </w:r>
      <w:proofErr w:type="spellStart"/>
      <w:r w:rsidRPr="002552DB">
        <w:rPr>
          <w:rFonts w:ascii="Arial" w:hAnsi="Arial" w:cs="Arial"/>
          <w:lang w:eastAsia="ja-JP"/>
        </w:rPr>
        <w:t>Dishers</w:t>
      </w:r>
      <w:proofErr w:type="spellEnd"/>
      <w:r w:rsidRPr="002552DB">
        <w:rPr>
          <w:rFonts w:ascii="Arial" w:hAnsi="Arial" w:cs="Arial"/>
          <w:lang w:eastAsia="ja-JP"/>
        </w:rPr>
        <w:t xml:space="preserve"> Creek. From </w:t>
      </w:r>
      <w:proofErr w:type="spellStart"/>
      <w:r w:rsidRPr="002552DB">
        <w:rPr>
          <w:rFonts w:ascii="Arial" w:hAnsi="Arial" w:cs="Arial"/>
          <w:lang w:eastAsia="ja-JP"/>
        </w:rPr>
        <w:t>mid 2012</w:t>
      </w:r>
      <w:proofErr w:type="spellEnd"/>
      <w:r w:rsidRPr="002552DB">
        <w:rPr>
          <w:rFonts w:ascii="Arial" w:hAnsi="Arial" w:cs="Arial"/>
          <w:lang w:eastAsia="ja-JP"/>
        </w:rPr>
        <w:t xml:space="preserve"> onwards Murray </w:t>
      </w:r>
      <w:proofErr w:type="spellStart"/>
      <w:r w:rsidRPr="002552DB">
        <w:rPr>
          <w:rFonts w:ascii="Arial" w:hAnsi="Arial" w:cs="Arial"/>
          <w:lang w:eastAsia="ja-JP"/>
        </w:rPr>
        <w:t>hardyhead</w:t>
      </w:r>
      <w:proofErr w:type="spellEnd"/>
      <w:r w:rsidRPr="002552DB">
        <w:rPr>
          <w:rFonts w:ascii="Arial" w:hAnsi="Arial" w:cs="Arial"/>
          <w:lang w:eastAsia="ja-JP"/>
        </w:rPr>
        <w:t xml:space="preserve"> were caught within Berri Evaporation Basin for the first time since spring 2010. Seven fish in total were captured, some of which were juvenile fish. 93 Murray </w:t>
      </w:r>
      <w:proofErr w:type="spellStart"/>
      <w:r w:rsidRPr="002552DB">
        <w:rPr>
          <w:rFonts w:ascii="Arial" w:hAnsi="Arial" w:cs="Arial"/>
          <w:lang w:eastAsia="ja-JP"/>
        </w:rPr>
        <w:t>hardyhead</w:t>
      </w:r>
      <w:proofErr w:type="spellEnd"/>
      <w:r w:rsidRPr="002552DB">
        <w:rPr>
          <w:rFonts w:ascii="Arial" w:hAnsi="Arial" w:cs="Arial"/>
          <w:lang w:eastAsia="ja-JP"/>
        </w:rPr>
        <w:t xml:space="preserve"> were captured in July 2012 and 821 Murray </w:t>
      </w:r>
      <w:proofErr w:type="spellStart"/>
      <w:r w:rsidRPr="002552DB">
        <w:rPr>
          <w:rFonts w:ascii="Arial" w:hAnsi="Arial" w:cs="Arial"/>
          <w:lang w:eastAsia="ja-JP"/>
        </w:rPr>
        <w:t>hardyhead</w:t>
      </w:r>
      <w:proofErr w:type="spellEnd"/>
      <w:r w:rsidRPr="002552DB">
        <w:rPr>
          <w:rFonts w:ascii="Arial" w:hAnsi="Arial" w:cs="Arial"/>
          <w:lang w:eastAsia="ja-JP"/>
        </w:rPr>
        <w:t xml:space="preserve"> were captured In November 2012.</w:t>
      </w:r>
    </w:p>
    <w:p w:rsidR="004C22B9" w:rsidRPr="002552DB" w:rsidRDefault="004C22B9" w:rsidP="004C22B9">
      <w:pPr>
        <w:rPr>
          <w:rFonts w:ascii="Arial" w:hAnsi="Arial" w:cs="Arial"/>
          <w:b/>
          <w:lang w:eastAsia="ja-JP"/>
        </w:rPr>
      </w:pPr>
      <w:r w:rsidRPr="002552DB">
        <w:rPr>
          <w:rFonts w:ascii="Arial" w:hAnsi="Arial" w:cs="Arial"/>
          <w:b/>
          <w:lang w:eastAsia="ja-JP"/>
        </w:rPr>
        <w:t>SA Comments:</w:t>
      </w:r>
    </w:p>
    <w:p w:rsidR="004C22B9" w:rsidRPr="002552DB" w:rsidRDefault="004C22B9" w:rsidP="004C22B9">
      <w:pPr>
        <w:rPr>
          <w:rFonts w:ascii="Arial" w:hAnsi="Arial" w:cs="Arial"/>
          <w:lang w:eastAsia="ja-JP"/>
        </w:rPr>
      </w:pPr>
      <w:r w:rsidRPr="002552DB">
        <w:rPr>
          <w:rFonts w:ascii="Arial" w:hAnsi="Arial" w:cs="Arial"/>
          <w:lang w:eastAsia="ja-JP"/>
        </w:rPr>
        <w:t xml:space="preserve">The Berri Evaporation Basin Murray </w:t>
      </w:r>
      <w:proofErr w:type="spellStart"/>
      <w:r w:rsidRPr="002552DB">
        <w:rPr>
          <w:rFonts w:ascii="Arial" w:hAnsi="Arial" w:cs="Arial"/>
          <w:lang w:eastAsia="ja-JP"/>
        </w:rPr>
        <w:t>hardyhead</w:t>
      </w:r>
      <w:proofErr w:type="spellEnd"/>
      <w:r w:rsidRPr="002552DB">
        <w:rPr>
          <w:rFonts w:ascii="Arial" w:hAnsi="Arial" w:cs="Arial"/>
          <w:lang w:eastAsia="ja-JP"/>
        </w:rPr>
        <w:t xml:space="preserve"> population is considered to be the most stable/healthy population of Murray </w:t>
      </w:r>
      <w:proofErr w:type="spellStart"/>
      <w:r w:rsidRPr="002552DB">
        <w:rPr>
          <w:rFonts w:ascii="Arial" w:hAnsi="Arial" w:cs="Arial"/>
          <w:lang w:eastAsia="ja-JP"/>
        </w:rPr>
        <w:t>hardyhead</w:t>
      </w:r>
      <w:proofErr w:type="spellEnd"/>
      <w:r w:rsidRPr="002552DB">
        <w:rPr>
          <w:rFonts w:ascii="Arial" w:hAnsi="Arial" w:cs="Arial"/>
          <w:lang w:eastAsia="ja-JP"/>
        </w:rPr>
        <w:t xml:space="preserve"> within the Murray-Darling</w:t>
      </w:r>
    </w:p>
    <w:p w:rsidR="004C22B9" w:rsidRPr="002552DB" w:rsidRDefault="004C22B9" w:rsidP="004C22B9">
      <w:pPr>
        <w:rPr>
          <w:rFonts w:ascii="Arial" w:hAnsi="Arial" w:cs="Arial"/>
          <w:lang w:eastAsia="ja-JP"/>
        </w:rPr>
      </w:pPr>
      <w:r w:rsidRPr="002552DB">
        <w:rPr>
          <w:rFonts w:ascii="Arial" w:hAnsi="Arial" w:cs="Arial"/>
          <w:lang w:eastAsia="ja-JP"/>
        </w:rPr>
        <w:lastRenderedPageBreak/>
        <w:t>Basin, due to the consistent high numbers of fish captured of varying size class distribution. It is essential to support this site during periods of low flow/high evaporation.</w:t>
      </w:r>
    </w:p>
    <w:sectPr w:rsidR="004C22B9" w:rsidRPr="002552DB" w:rsidSect="004C22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B9" w:rsidRDefault="004C22B9">
      <w:r>
        <w:separator/>
      </w:r>
    </w:p>
  </w:endnote>
  <w:endnote w:type="continuationSeparator" w:id="0">
    <w:p w:rsidR="004C22B9" w:rsidRDefault="004C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19" w:rsidRDefault="00FB0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9A" w:rsidRPr="00FB0319" w:rsidRDefault="00FB0319" w:rsidP="004C22B9">
    <w:pPr>
      <w:pStyle w:val="Footer"/>
      <w:rPr>
        <w:rFonts w:asciiTheme="minorHAnsi" w:hAnsiTheme="minorHAnsi" w:cstheme="minorHAnsi"/>
        <w:lang w:eastAsia="en-US"/>
      </w:rPr>
    </w:pPr>
    <w:r>
      <w:rPr>
        <w:rFonts w:asciiTheme="minorHAnsi" w:hAnsiTheme="minorHAnsi" w:cstheme="minorHAnsi"/>
      </w:rPr>
      <w:t>The Australian Government acting through the Department of Agriculture has created this document from a PDF version to meet accessibility requirements. Whilst we have exercised due care and skill in preparing and compiling this word version, errors or inconsistencies to the PDF may appear. The PDF version of this document must be used as the authoritative version.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19" w:rsidRDefault="00FB0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B9" w:rsidRDefault="004C22B9">
      <w:r>
        <w:separator/>
      </w:r>
    </w:p>
  </w:footnote>
  <w:footnote w:type="continuationSeparator" w:id="0">
    <w:p w:rsidR="004C22B9" w:rsidRDefault="004C22B9">
      <w:r>
        <w:continuationSeparator/>
      </w:r>
    </w:p>
  </w:footnote>
  <w:footnote w:id="1">
    <w:p w:rsidR="002552DB" w:rsidRDefault="002552DB">
      <w:pPr>
        <w:pStyle w:val="FootnoteText"/>
      </w:pPr>
      <w:r>
        <w:rPr>
          <w:rStyle w:val="FootnoteReference"/>
        </w:rPr>
        <w:footnoteRef/>
      </w:r>
      <w:r>
        <w:t xml:space="preserve"> This water has been sourced from allocations associated with SA River Murray class 3a.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19" w:rsidRDefault="00FB0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19" w:rsidRDefault="00FB03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19" w:rsidRDefault="00FB0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B9"/>
    <w:rsid w:val="000C55EB"/>
    <w:rsid w:val="002552DB"/>
    <w:rsid w:val="003214E9"/>
    <w:rsid w:val="00461807"/>
    <w:rsid w:val="004C22B9"/>
    <w:rsid w:val="0054747E"/>
    <w:rsid w:val="00591E22"/>
    <w:rsid w:val="00626E31"/>
    <w:rsid w:val="00905F94"/>
    <w:rsid w:val="00941279"/>
    <w:rsid w:val="00AA4B88"/>
    <w:rsid w:val="00B57188"/>
    <w:rsid w:val="00C6669A"/>
    <w:rsid w:val="00CC3508"/>
    <w:rsid w:val="00DD36A2"/>
    <w:rsid w:val="00E3214D"/>
    <w:rsid w:val="00FB0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0118212-5E7B-4E4D-AEFE-D9B1EAAD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52DB"/>
    <w:pPr>
      <w:spacing w:before="0"/>
    </w:pPr>
    <w:rPr>
      <w:sz w:val="20"/>
      <w:szCs w:val="20"/>
    </w:rPr>
  </w:style>
  <w:style w:type="character" w:customStyle="1" w:styleId="FootnoteTextChar">
    <w:name w:val="Footnote Text Char"/>
    <w:basedOn w:val="DefaultParagraphFont"/>
    <w:link w:val="FootnoteText"/>
    <w:uiPriority w:val="99"/>
    <w:semiHidden/>
    <w:rsid w:val="002552DB"/>
    <w:rPr>
      <w:lang w:eastAsia="en-US"/>
    </w:rPr>
  </w:style>
  <w:style w:type="character" w:styleId="FootnoteReference">
    <w:name w:val="footnote reference"/>
    <w:basedOn w:val="DefaultParagraphFont"/>
    <w:uiPriority w:val="99"/>
    <w:semiHidden/>
    <w:unhideWhenUsed/>
    <w:rsid w:val="00255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4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1C12099-6199-48B1-B3FF-E48417ACCD97}">
  <ds:schemaRefs>
    <ds:schemaRef ds:uri="http://schemas.openxmlformats.org/officeDocument/2006/bibliography"/>
  </ds:schemaRefs>
</ds:datastoreItem>
</file>

<file path=customXml/itemProps2.xml><?xml version="1.0" encoding="utf-8"?>
<ds:datastoreItem xmlns:ds="http://schemas.openxmlformats.org/officeDocument/2006/customXml" ds:itemID="{953D7A5A-6FFF-4A77-A8B1-7725D871CC52}"/>
</file>

<file path=customXml/itemProps3.xml><?xml version="1.0" encoding="utf-8"?>
<ds:datastoreItem xmlns:ds="http://schemas.openxmlformats.org/officeDocument/2006/customXml" ds:itemID="{911F5317-DC39-46CB-AD78-FF81E12101DB}"/>
</file>

<file path=customXml/itemProps4.xml><?xml version="1.0" encoding="utf-8"?>
<ds:datastoreItem xmlns:ds="http://schemas.openxmlformats.org/officeDocument/2006/customXml" ds:itemID="{D40BECED-75AD-4774-8998-C20204326CD5}"/>
</file>

<file path=docProps/app.xml><?xml version="1.0" encoding="utf-8"?>
<Properties xmlns="http://schemas.openxmlformats.org/officeDocument/2006/extended-properties" xmlns:vt="http://schemas.openxmlformats.org/officeDocument/2006/docPropsVTypes">
  <Template>Normal</Template>
  <TotalTime>24</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Bond, Damien</dc:creator>
  <cp:keywords/>
  <dc:description/>
  <cp:lastModifiedBy>Loram, James</cp:lastModifiedBy>
  <cp:revision>6</cp:revision>
  <cp:lastPrinted>2015-08-14T05:36:00Z</cp:lastPrinted>
  <dcterms:created xsi:type="dcterms:W3CDTF">2019-08-06T02:51:00Z</dcterms:created>
  <dcterms:modified xsi:type="dcterms:W3CDTF">2019-08-15T03:21:00Z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