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8BE" w:rsidRPr="00B948BE" w:rsidRDefault="00B948BE" w:rsidP="00B948BE">
      <w:pPr>
        <w:rPr>
          <w:rFonts w:ascii="Arial" w:hAnsi="Arial" w:cs="Arial"/>
          <w:lang w:val="en-US" w:eastAsia="ja-JP"/>
        </w:rPr>
      </w:pPr>
      <w:r w:rsidRPr="00B948BE">
        <w:rPr>
          <w:rFonts w:ascii="Arial" w:hAnsi="Arial" w:cs="Arial"/>
          <w:lang w:val="en-US" w:eastAsia="ja-JP"/>
        </w:rPr>
        <w:t>REF 14DFW02101</w:t>
      </w:r>
    </w:p>
    <w:p w:rsidR="00B948BE" w:rsidRPr="00B948BE" w:rsidRDefault="00B948BE" w:rsidP="00B948BE">
      <w:pPr>
        <w:rPr>
          <w:rFonts w:ascii="Arial" w:hAnsi="Arial" w:cs="Arial"/>
          <w:lang w:val="en-US" w:eastAsia="ja-JP"/>
        </w:rPr>
      </w:pPr>
      <w:r w:rsidRPr="00B948BE">
        <w:rPr>
          <w:rFonts w:ascii="Arial" w:hAnsi="Arial" w:cs="Arial"/>
          <w:lang w:val="en-US" w:eastAsia="ja-JP"/>
        </w:rPr>
        <w:t>Date: 30/11/15</w:t>
      </w:r>
    </w:p>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highlight w:val="black"/>
          <w:lang w:val="en-US" w:eastAsia="ja-JP"/>
        </w:rPr>
        <w:t>*Name redacted*</w:t>
      </w:r>
      <w:r w:rsidRPr="00B948BE">
        <w:rPr>
          <w:rFonts w:ascii="Arial" w:hAnsi="Arial" w:cs="Arial"/>
          <w:lang w:val="en-US" w:eastAsia="ja-JP"/>
        </w:rPr>
        <w:br/>
        <w:t>A/ Executive Director Policy and Planning</w:t>
      </w:r>
      <w:r w:rsidRPr="00B948BE">
        <w:rPr>
          <w:rFonts w:ascii="Arial" w:hAnsi="Arial" w:cs="Arial"/>
          <w:lang w:val="en-US" w:eastAsia="ja-JP"/>
        </w:rPr>
        <w:br/>
        <w:t>Murray-Darling Basin Authority</w:t>
      </w:r>
      <w:r w:rsidRPr="00B948BE">
        <w:rPr>
          <w:rFonts w:ascii="Arial" w:hAnsi="Arial" w:cs="Arial"/>
          <w:lang w:val="en-US" w:eastAsia="ja-JP"/>
        </w:rPr>
        <w:br/>
        <w:t>GPO Box 1801</w:t>
      </w:r>
      <w:r w:rsidRPr="00B948BE">
        <w:rPr>
          <w:rFonts w:ascii="Arial" w:hAnsi="Arial" w:cs="Arial"/>
          <w:lang w:val="en-US" w:eastAsia="ja-JP"/>
        </w:rPr>
        <w:br/>
        <w:t>CANBERRA ACT 2601</w:t>
      </w:r>
    </w:p>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Dear </w:t>
      </w:r>
      <w:r w:rsidRPr="00B948BE">
        <w:rPr>
          <w:rFonts w:ascii="Arial" w:hAnsi="Arial" w:cs="Arial"/>
          <w:highlight w:val="black"/>
          <w:lang w:val="en-US" w:eastAsia="ja-JP"/>
        </w:rPr>
        <w:t>*Name redacted*</w:t>
      </w:r>
    </w:p>
    <w:p w:rsidR="00B948BE" w:rsidRPr="00B948BE" w:rsidRDefault="00B948BE" w:rsidP="00B948BE">
      <w:pPr>
        <w:rPr>
          <w:rFonts w:ascii="Arial" w:hAnsi="Arial" w:cs="Arial"/>
          <w:lang w:val="en-US" w:eastAsia="ja-JP"/>
        </w:rPr>
      </w:pPr>
      <w:r w:rsidRPr="00B948BE">
        <w:rPr>
          <w:rFonts w:ascii="Arial" w:hAnsi="Arial" w:cs="Arial"/>
          <w:lang w:val="en-US" w:eastAsia="ja-JP"/>
        </w:rPr>
        <w:t>I write regarding South Australia's obligations under Schedule 1 of the Implementation Plan for Augmentation of the Adelaide Desalination Plant (the Agreement).</w:t>
      </w:r>
    </w:p>
    <w:p w:rsidR="00B948BE" w:rsidRPr="00B948BE" w:rsidRDefault="00B948BE" w:rsidP="00B948BE">
      <w:pPr>
        <w:rPr>
          <w:rFonts w:ascii="Arial" w:hAnsi="Arial" w:cs="Arial"/>
          <w:lang w:val="en-US" w:eastAsia="ja-JP"/>
        </w:rPr>
      </w:pPr>
      <w:r w:rsidRPr="00B948BE">
        <w:rPr>
          <w:rFonts w:ascii="Arial" w:hAnsi="Arial" w:cs="Arial"/>
          <w:lang w:val="en-US" w:eastAsia="ja-JP"/>
        </w:rPr>
        <w:t>In 2014-15 a further 22.75 GL of water was delivered by the Adelaide Desalination Plant for use in metropolitan Adelaide. This brings the total to 125.50 GL since commencement of the plant in 2011. Incorporation of desalinated water into the water supply resulted in only 73.19 GL being drawn from the River Murray for Metropolitan Adelaide and its associated country towns (Metropolitan Adelaide) in 2014-15.</w:t>
      </w: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The water that was not diverted from the River Murray has supplemented the State's planned environmental watering activities by contributing to the environmental watering requirements of environmental assets, in particular the Lower Lakes, Coorong and Murray Mouth. On this basis, the State requests that 22.75 GL is </w:t>
      </w:r>
      <w:proofErr w:type="spellStart"/>
      <w:r w:rsidRPr="00B948BE">
        <w:rPr>
          <w:rFonts w:ascii="Arial" w:hAnsi="Arial" w:cs="Arial"/>
          <w:lang w:val="en-US" w:eastAsia="ja-JP"/>
        </w:rPr>
        <w:t>recognised</w:t>
      </w:r>
      <w:proofErr w:type="spellEnd"/>
      <w:r w:rsidRPr="00B948BE">
        <w:rPr>
          <w:rFonts w:ascii="Arial" w:hAnsi="Arial" w:cs="Arial"/>
          <w:lang w:val="en-US" w:eastAsia="ja-JP"/>
        </w:rPr>
        <w:t xml:space="preserve"> as providing an environmental benefit to the Lower Lakes Coorong and Murray Mouth in accordance with the environmental provision requirements under the Agreement.</w:t>
      </w:r>
    </w:p>
    <w:p w:rsidR="00B948BE" w:rsidRPr="00B948BE" w:rsidRDefault="00B948BE" w:rsidP="00B948BE">
      <w:pPr>
        <w:rPr>
          <w:rFonts w:ascii="Arial" w:hAnsi="Arial" w:cs="Arial"/>
          <w:lang w:val="en-US" w:eastAsia="ja-JP"/>
        </w:rPr>
      </w:pPr>
      <w:r w:rsidRPr="00B948BE">
        <w:rPr>
          <w:rFonts w:ascii="Arial" w:hAnsi="Arial" w:cs="Arial"/>
          <w:lang w:val="en-US" w:eastAsia="ja-JP"/>
        </w:rPr>
        <w:t>The following allocations have also been accounted for on account SA213146-0-10009:</w:t>
      </w:r>
    </w:p>
    <w:p w:rsidR="00B948BE" w:rsidRPr="00B948BE" w:rsidRDefault="00B948BE" w:rsidP="00B948BE">
      <w:pPr>
        <w:pStyle w:val="ListBullet"/>
        <w:rPr>
          <w:rFonts w:ascii="Arial" w:hAnsi="Arial" w:cs="Arial"/>
        </w:rPr>
      </w:pPr>
      <w:r w:rsidRPr="00B948BE">
        <w:rPr>
          <w:rFonts w:ascii="Arial" w:hAnsi="Arial" w:cs="Arial"/>
        </w:rPr>
        <w:t>6,010 ML — received from 100% allocation against the high reliability class 3a entitlement held by the Minister for Water and the River Murray.</w:t>
      </w:r>
    </w:p>
    <w:p w:rsidR="00B948BE" w:rsidRPr="00B948BE" w:rsidRDefault="00B948BE" w:rsidP="00B948BE">
      <w:pPr>
        <w:pStyle w:val="ListBullet"/>
        <w:rPr>
          <w:rFonts w:ascii="Arial" w:hAnsi="Arial" w:cs="Arial"/>
        </w:rPr>
      </w:pPr>
      <w:r w:rsidRPr="00B948BE">
        <w:rPr>
          <w:rFonts w:ascii="Arial" w:hAnsi="Arial" w:cs="Arial"/>
        </w:rPr>
        <w:t>0.5 ML — received from 100% allocation against the high reliability class 1 entitlement held by the Minister for Water and the River Murray.</w:t>
      </w:r>
    </w:p>
    <w:p w:rsidR="00B948BE" w:rsidRPr="00B948BE" w:rsidRDefault="00B948BE" w:rsidP="00B948BE">
      <w:pPr>
        <w:pStyle w:val="ListBullet"/>
        <w:rPr>
          <w:rFonts w:ascii="Arial" w:hAnsi="Arial" w:cs="Arial"/>
        </w:rPr>
      </w:pPr>
      <w:r w:rsidRPr="00B948BE">
        <w:rPr>
          <w:rFonts w:ascii="Arial" w:hAnsi="Arial" w:cs="Arial"/>
        </w:rPr>
        <w:t>4,999 ML — received from 100% allocation against the high reliability class 7 entitlement held by the Minister for Water and the River Murray.</w:t>
      </w:r>
    </w:p>
    <w:p w:rsidR="00B948BE" w:rsidRPr="00B948BE" w:rsidRDefault="00B948BE" w:rsidP="00B948BE">
      <w:pPr>
        <w:pStyle w:val="ListBullet"/>
        <w:rPr>
          <w:rFonts w:ascii="Arial" w:hAnsi="Arial" w:cs="Arial"/>
        </w:rPr>
      </w:pPr>
      <w:r w:rsidRPr="00B948BE">
        <w:rPr>
          <w:rFonts w:ascii="Arial" w:hAnsi="Arial" w:cs="Arial"/>
        </w:rPr>
        <w:t>1,087.1 ML allocation from New South Wales entitlement held by the Minister for Water and the River Murray.</w:t>
      </w: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As required under the Agreement, the attached report identifies the </w:t>
      </w:r>
      <w:proofErr w:type="spellStart"/>
      <w:r w:rsidRPr="00B948BE">
        <w:rPr>
          <w:rFonts w:ascii="Arial" w:hAnsi="Arial" w:cs="Arial"/>
          <w:lang w:val="en-US" w:eastAsia="ja-JP"/>
        </w:rPr>
        <w:t>licences</w:t>
      </w:r>
      <w:proofErr w:type="spellEnd"/>
      <w:r w:rsidRPr="00B948BE">
        <w:rPr>
          <w:rFonts w:ascii="Arial" w:hAnsi="Arial" w:cs="Arial"/>
          <w:lang w:val="en-US" w:eastAsia="ja-JP"/>
        </w:rPr>
        <w:t xml:space="preserve"> and volumes of allocation accounted for in regards to the high reliability entitlement and environmental allocation. The use of this environmental water has also been reported in South Australia's Schedule 12 reporting, as a part of indicators 9.1.1 and 9.1.3.</w:t>
      </w:r>
    </w:p>
    <w:p w:rsidR="00B948BE" w:rsidRPr="00B948BE" w:rsidRDefault="00B948BE" w:rsidP="00B948BE">
      <w:pPr>
        <w:rPr>
          <w:rFonts w:ascii="Arial" w:hAnsi="Arial" w:cs="Arial"/>
          <w:lang w:val="en-US" w:eastAsia="ja-JP"/>
        </w:rPr>
        <w:sectPr w:rsidR="00B948BE" w:rsidRPr="00B948BE" w:rsidSect="00B948BE">
          <w:footerReference w:type="default" r:id="rId8"/>
          <w:pgSz w:w="11904" w:h="16838"/>
          <w:pgMar w:top="1020" w:right="1660" w:bottom="1862" w:left="1504" w:header="720" w:footer="720" w:gutter="0"/>
          <w:cols w:space="720"/>
        </w:sectPr>
      </w:pPr>
      <w:bookmarkStart w:id="0" w:name="_GoBack"/>
      <w:bookmarkEnd w:id="0"/>
    </w:p>
    <w:p w:rsidR="00B948BE" w:rsidRPr="00B948BE" w:rsidRDefault="00B948BE" w:rsidP="00B948BE">
      <w:pPr>
        <w:rPr>
          <w:rFonts w:ascii="Arial" w:hAnsi="Arial" w:cs="Arial"/>
          <w:lang w:val="en-US" w:eastAsia="ja-JP"/>
        </w:rPr>
      </w:pPr>
      <w:r w:rsidRPr="00B948BE">
        <w:rPr>
          <w:rFonts w:ascii="Arial" w:hAnsi="Arial" w:cs="Arial"/>
          <w:lang w:val="en-US" w:eastAsia="ja-JP"/>
        </w:rPr>
        <w:lastRenderedPageBreak/>
        <w:t>It would be appreciated if you or someone from the Authority could please confirm by letter or email that the environmental water provisions have been accounted for consistent with the agreed framework for the purpose of meeting reporting requirements in respect of 2014-15.</w:t>
      </w:r>
    </w:p>
    <w:p w:rsidR="00B948BE" w:rsidRPr="00B948BE" w:rsidRDefault="00B948BE" w:rsidP="00B948BE">
      <w:pPr>
        <w:rPr>
          <w:rFonts w:ascii="Arial" w:hAnsi="Arial" w:cs="Arial"/>
          <w:b/>
          <w:color w:val="000000" w:themeColor="text1"/>
          <w:lang w:val="en-US" w:eastAsia="ja-JP"/>
        </w:rPr>
      </w:pPr>
      <w:r w:rsidRPr="00B948BE">
        <w:rPr>
          <w:rFonts w:ascii="Arial" w:hAnsi="Arial" w:cs="Arial"/>
          <w:color w:val="000000" w:themeColor="text1"/>
          <w:lang w:val="en-US" w:eastAsia="ja-JP"/>
        </w:rPr>
        <w:t>Once received, the South Australian Government will forward a copy of the Authority's response to</w:t>
      </w:r>
      <w:r w:rsidRPr="00B948BE">
        <w:rPr>
          <w:rFonts w:ascii="Arial" w:hAnsi="Arial" w:cs="Arial"/>
          <w:color w:val="000000" w:themeColor="text1"/>
          <w:lang w:val="en-US" w:eastAsia="ja-JP"/>
        </w:rPr>
        <w:tab/>
      </w:r>
      <w:r w:rsidRPr="00B948BE">
        <w:rPr>
          <w:rFonts w:ascii="Arial" w:hAnsi="Arial" w:cs="Arial"/>
          <w:color w:val="000000" w:themeColor="text1"/>
          <w:highlight w:val="black"/>
          <w:lang w:val="en-US" w:eastAsia="ja-JP"/>
        </w:rPr>
        <w:t>*Name redacted*</w:t>
      </w:r>
      <w:r w:rsidRPr="00B948BE">
        <w:rPr>
          <w:rFonts w:ascii="Arial" w:hAnsi="Arial" w:cs="Arial"/>
          <w:color w:val="000000" w:themeColor="text1"/>
          <w:lang w:val="en-US" w:eastAsia="ja-JP"/>
        </w:rPr>
        <w:t xml:space="preserve"> from the Department of Agriculture and Water Resources. If necessary, </w:t>
      </w:r>
      <w:r w:rsidRPr="00B948BE">
        <w:rPr>
          <w:rFonts w:ascii="Arial" w:hAnsi="Arial" w:cs="Arial"/>
          <w:color w:val="000000" w:themeColor="text1"/>
          <w:highlight w:val="black"/>
          <w:lang w:val="en-US" w:eastAsia="ja-JP"/>
        </w:rPr>
        <w:t>*Name redacted*</w:t>
      </w:r>
      <w:r w:rsidRPr="00B948BE">
        <w:rPr>
          <w:rFonts w:ascii="Arial" w:hAnsi="Arial" w:cs="Arial"/>
          <w:color w:val="000000" w:themeColor="text1"/>
          <w:lang w:val="en-US" w:eastAsia="ja-JP"/>
        </w:rPr>
        <w:t xml:space="preserve"> can be contacted on either </w:t>
      </w:r>
      <w:r w:rsidRPr="00B948BE">
        <w:rPr>
          <w:rFonts w:ascii="Arial" w:hAnsi="Arial" w:cs="Arial"/>
          <w:color w:val="000000" w:themeColor="text1"/>
          <w:highlight w:val="black"/>
          <w:lang w:val="en-US" w:eastAsia="ja-JP"/>
        </w:rPr>
        <w:t>*Phone redacted*</w:t>
      </w:r>
      <w:r w:rsidRPr="00B948BE">
        <w:rPr>
          <w:rFonts w:ascii="Arial" w:hAnsi="Arial" w:cs="Arial"/>
          <w:color w:val="000000" w:themeColor="text1"/>
          <w:lang w:val="en-US" w:eastAsia="ja-JP"/>
        </w:rPr>
        <w:t xml:space="preserve"> or </w:t>
      </w:r>
      <w:r w:rsidRPr="00B948BE">
        <w:rPr>
          <w:rFonts w:ascii="Arial" w:hAnsi="Arial" w:cs="Arial"/>
          <w:color w:val="000000" w:themeColor="text1"/>
          <w:highlight w:val="black"/>
          <w:lang w:val="en-US" w:eastAsia="ja-JP"/>
        </w:rPr>
        <w:t>*Email redacted*</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Yours sincerely</w:t>
      </w:r>
    </w:p>
    <w:p w:rsidR="00B948BE" w:rsidRPr="00B948BE" w:rsidRDefault="00B948BE" w:rsidP="00B948BE">
      <w:pPr>
        <w:rPr>
          <w:rFonts w:ascii="Arial" w:hAnsi="Arial" w:cs="Arial"/>
          <w:color w:val="000000" w:themeColor="text1"/>
          <w:lang w:val="en-US" w:eastAsia="ja-JP"/>
        </w:rPr>
      </w:pP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*Signature redacted*</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*Name redacted*</w:t>
      </w:r>
    </w:p>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DIRECTOR, WATER AND CLIMATE CHANGE</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 xml:space="preserve">CC </w:t>
      </w:r>
      <w:r w:rsidRPr="00B948BE">
        <w:rPr>
          <w:rFonts w:ascii="Arial" w:hAnsi="Arial" w:cs="Arial"/>
          <w:color w:val="000000" w:themeColor="text1"/>
          <w:highlight w:val="black"/>
          <w:lang w:val="en-US" w:eastAsia="ja-JP"/>
        </w:rPr>
        <w:t>*Name redacted*</w:t>
      </w:r>
      <w:r w:rsidRPr="00B948BE">
        <w:rPr>
          <w:rFonts w:ascii="Arial" w:hAnsi="Arial" w:cs="Arial"/>
          <w:color w:val="000000" w:themeColor="text1"/>
          <w:lang w:val="en-US" w:eastAsia="ja-JP"/>
        </w:rPr>
        <w:br/>
        <w:t>Department of Agriculture and Water Resources</w:t>
      </w:r>
    </w:p>
    <w:p w:rsidR="00B948BE" w:rsidRPr="00B948BE" w:rsidRDefault="00B948BE" w:rsidP="00B948BE">
      <w:pPr>
        <w:rPr>
          <w:rFonts w:ascii="Arial" w:hAnsi="Arial" w:cs="Arial"/>
          <w:color w:val="000000" w:themeColor="text1"/>
          <w:lang w:val="en-US" w:eastAsia="ja-JP"/>
        </w:rPr>
        <w:sectPr w:rsidR="00B948BE" w:rsidRPr="00B948BE">
          <w:pgSz w:w="11906" w:h="16838"/>
          <w:pgMar w:top="1440" w:right="1440" w:bottom="1440" w:left="1440" w:header="708" w:footer="708" w:gutter="0"/>
          <w:cols w:space="708"/>
          <w:docGrid w:linePitch="360"/>
        </w:sectPr>
      </w:pPr>
    </w:p>
    <w:p w:rsidR="00B948BE" w:rsidRP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lastRenderedPageBreak/>
        <w:t>ADELAIDE DESALINATION PLANT</w:t>
      </w:r>
    </w:p>
    <w:p w:rsidR="00B948BE" w:rsidRP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t>Report on Environmental Water Allocations, Use and Outcomes (for the year ended 30 June 2015)</w:t>
      </w:r>
    </w:p>
    <w:p w:rsidR="00B948BE" w:rsidRPr="00B948BE" w:rsidRDefault="00B948BE" w:rsidP="00B948BE">
      <w:pPr>
        <w:rPr>
          <w:rFonts w:ascii="Arial" w:hAnsi="Arial" w:cs="Arial"/>
          <w:color w:val="000000" w:themeColor="text1"/>
          <w:lang w:val="en-US" w:eastAsia="ja-JP"/>
        </w:rPr>
      </w:pPr>
    </w:p>
    <w:tbl>
      <w:tblPr>
        <w:tblStyle w:val="TableGrid"/>
        <w:tblW w:w="0" w:type="auto"/>
        <w:tblLook w:val="04A0" w:firstRow="1" w:lastRow="0" w:firstColumn="1" w:lastColumn="0" w:noHBand="0" w:noVBand="1"/>
      </w:tblPr>
      <w:tblGrid>
        <w:gridCol w:w="1746"/>
        <w:gridCol w:w="1329"/>
        <w:gridCol w:w="1359"/>
        <w:gridCol w:w="1745"/>
        <w:gridCol w:w="1331"/>
        <w:gridCol w:w="1217"/>
        <w:gridCol w:w="1316"/>
        <w:gridCol w:w="1316"/>
        <w:gridCol w:w="1360"/>
        <w:gridCol w:w="1234"/>
      </w:tblGrid>
      <w:tr w:rsidR="00B948BE" w:rsidRPr="00B948BE" w:rsidTr="00B948BE">
        <w:tc>
          <w:tcPr>
            <w:tcW w:w="1397" w:type="dxa"/>
            <w:vMerge w:val="restart"/>
            <w:tcBorders>
              <w:top w:val="nil"/>
              <w:left w:val="nil"/>
            </w:tcBorders>
          </w:tcPr>
          <w:p w:rsidR="00B948BE" w:rsidRPr="00B948BE" w:rsidRDefault="00B948BE" w:rsidP="00B948BE">
            <w:pPr>
              <w:rPr>
                <w:rFonts w:ascii="Arial" w:hAnsi="Arial" w:cs="Arial"/>
                <w:color w:val="000000" w:themeColor="text1"/>
                <w:lang w:val="en-US" w:eastAsia="ja-JP"/>
              </w:rPr>
            </w:pPr>
          </w:p>
        </w:tc>
        <w:tc>
          <w:tcPr>
            <w:tcW w:w="1370"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proofErr w:type="spellStart"/>
            <w:r w:rsidRPr="00B948BE">
              <w:rPr>
                <w:rFonts w:ascii="Arial" w:hAnsi="Arial" w:cs="Arial"/>
                <w:b/>
                <w:color w:val="000000" w:themeColor="text1"/>
                <w:lang w:val="en-US" w:eastAsia="ja-JP"/>
              </w:rPr>
              <w:t>Licence</w:t>
            </w:r>
            <w:proofErr w:type="spellEnd"/>
          </w:p>
        </w:tc>
        <w:tc>
          <w:tcPr>
            <w:tcW w:w="1379"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Account</w:t>
            </w:r>
          </w:p>
        </w:tc>
        <w:tc>
          <w:tcPr>
            <w:tcW w:w="1623"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Environmental</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Allocation</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(ML)</w:t>
            </w:r>
          </w:p>
        </w:tc>
        <w:tc>
          <w:tcPr>
            <w:tcW w:w="1367"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Carryover of Balance</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(ML)</w:t>
            </w:r>
          </w:p>
        </w:tc>
        <w:tc>
          <w:tcPr>
            <w:tcW w:w="2715" w:type="dxa"/>
            <w:gridSpan w:val="2"/>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Allocation</w:t>
            </w:r>
          </w:p>
        </w:tc>
        <w:tc>
          <w:tcPr>
            <w:tcW w:w="2756" w:type="dxa"/>
            <w:gridSpan w:val="2"/>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Environmental Use</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(KL)</w:t>
            </w:r>
          </w:p>
        </w:tc>
        <w:tc>
          <w:tcPr>
            <w:tcW w:w="1341" w:type="dxa"/>
            <w:vMerge w:val="restart"/>
            <w:shd w:val="clear" w:color="auto" w:fill="A6A6A6" w:themeFill="background1" w:themeFillShade="A6"/>
          </w:tcPr>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Closing</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Balance</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(KL)</w:t>
            </w:r>
          </w:p>
        </w:tc>
      </w:tr>
      <w:tr w:rsidR="00B948BE" w:rsidRPr="00B948BE" w:rsidTr="00B948BE">
        <w:tc>
          <w:tcPr>
            <w:tcW w:w="1397" w:type="dxa"/>
            <w:vMerge/>
            <w:tcBorders>
              <w:left w:val="nil"/>
            </w:tcBorders>
          </w:tcPr>
          <w:p w:rsidR="00B948BE" w:rsidRPr="00B948BE" w:rsidRDefault="00B948BE" w:rsidP="00B948BE">
            <w:pPr>
              <w:rPr>
                <w:rFonts w:ascii="Arial" w:hAnsi="Arial" w:cs="Arial"/>
                <w:color w:val="000000" w:themeColor="text1"/>
                <w:lang w:val="en-US" w:eastAsia="ja-JP"/>
              </w:rPr>
            </w:pPr>
          </w:p>
        </w:tc>
        <w:tc>
          <w:tcPr>
            <w:tcW w:w="1370" w:type="dxa"/>
            <w:vMerge/>
          </w:tcPr>
          <w:p w:rsidR="00B948BE" w:rsidRPr="00B948BE" w:rsidRDefault="00B948BE" w:rsidP="00B948BE">
            <w:pPr>
              <w:rPr>
                <w:rFonts w:ascii="Arial" w:hAnsi="Arial" w:cs="Arial"/>
                <w:color w:val="000000" w:themeColor="text1"/>
                <w:lang w:val="en-US" w:eastAsia="ja-JP"/>
              </w:rPr>
            </w:pPr>
          </w:p>
        </w:tc>
        <w:tc>
          <w:tcPr>
            <w:tcW w:w="1379" w:type="dxa"/>
            <w:vMerge/>
          </w:tcPr>
          <w:p w:rsidR="00B948BE" w:rsidRPr="00B948BE" w:rsidRDefault="00B948BE" w:rsidP="00B948BE">
            <w:pPr>
              <w:rPr>
                <w:rFonts w:ascii="Arial" w:hAnsi="Arial" w:cs="Arial"/>
                <w:color w:val="000000" w:themeColor="text1"/>
                <w:lang w:val="en-US" w:eastAsia="ja-JP"/>
              </w:rPr>
            </w:pPr>
          </w:p>
        </w:tc>
        <w:tc>
          <w:tcPr>
            <w:tcW w:w="1623" w:type="dxa"/>
            <w:vMerge/>
          </w:tcPr>
          <w:p w:rsidR="00B948BE" w:rsidRPr="00B948BE" w:rsidRDefault="00B948BE" w:rsidP="00B948BE">
            <w:pPr>
              <w:rPr>
                <w:rFonts w:ascii="Arial" w:hAnsi="Arial" w:cs="Arial"/>
                <w:color w:val="000000" w:themeColor="text1"/>
                <w:lang w:val="en-US" w:eastAsia="ja-JP"/>
              </w:rPr>
            </w:pPr>
          </w:p>
        </w:tc>
        <w:tc>
          <w:tcPr>
            <w:tcW w:w="1367" w:type="dxa"/>
            <w:vMerge/>
          </w:tcPr>
          <w:p w:rsidR="00B948BE" w:rsidRPr="00B948BE" w:rsidRDefault="00B948BE" w:rsidP="00B948BE">
            <w:pPr>
              <w:rPr>
                <w:rFonts w:ascii="Arial" w:hAnsi="Arial" w:cs="Arial"/>
                <w:color w:val="000000" w:themeColor="text1"/>
                <w:lang w:val="en-US" w:eastAsia="ja-JP"/>
              </w:rPr>
            </w:pPr>
          </w:p>
        </w:tc>
        <w:tc>
          <w:tcPr>
            <w:tcW w:w="1340" w:type="dxa"/>
            <w:shd w:val="clear" w:color="auto" w:fill="A6A6A6" w:themeFill="background1" w:themeFillShade="A6"/>
          </w:tcPr>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75" w:type="dxa"/>
            <w:shd w:val="clear" w:color="auto" w:fill="A6A6A6" w:themeFill="background1" w:themeFillShade="A6"/>
          </w:tcPr>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KL</w:t>
            </w:r>
          </w:p>
        </w:tc>
        <w:tc>
          <w:tcPr>
            <w:tcW w:w="1375" w:type="dxa"/>
            <w:shd w:val="clear" w:color="auto" w:fill="A6A6A6" w:themeFill="background1" w:themeFillShade="A6"/>
          </w:tcPr>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Planned</w:t>
            </w:r>
          </w:p>
        </w:tc>
        <w:tc>
          <w:tcPr>
            <w:tcW w:w="1381" w:type="dxa"/>
            <w:shd w:val="clear" w:color="auto" w:fill="A6A6A6" w:themeFill="background1" w:themeFillShade="A6"/>
          </w:tcPr>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Actual</w:t>
            </w:r>
          </w:p>
        </w:tc>
        <w:tc>
          <w:tcPr>
            <w:tcW w:w="1341" w:type="dxa"/>
            <w:vMerge/>
          </w:tcPr>
          <w:p w:rsidR="00B948BE" w:rsidRPr="00B948BE" w:rsidRDefault="00B948BE" w:rsidP="00B948BE">
            <w:pPr>
              <w:rPr>
                <w:rFonts w:ascii="Arial" w:hAnsi="Arial" w:cs="Arial"/>
                <w:color w:val="000000" w:themeColor="text1"/>
                <w:lang w:val="en-US" w:eastAsia="ja-JP"/>
              </w:rPr>
            </w:pPr>
          </w:p>
        </w:tc>
      </w:tr>
      <w:tr w:rsidR="00B948BE" w:rsidRPr="00B948BE" w:rsidTr="00B948BE">
        <w:tc>
          <w:tcPr>
            <w:tcW w:w="1397" w:type="dxa"/>
            <w:vMerge w:val="restart"/>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High Reliability Water Entitlement</w:t>
            </w:r>
            <w:r w:rsidRPr="00B948BE">
              <w:rPr>
                <w:rStyle w:val="FootnoteReference"/>
                <w:rFonts w:ascii="Arial" w:hAnsi="Arial" w:cs="Arial"/>
                <w:b/>
                <w:color w:val="000000" w:themeColor="text1"/>
                <w:lang w:val="en-US" w:eastAsia="ja-JP"/>
              </w:rPr>
              <w:footnoteReference w:id="1"/>
            </w:r>
          </w:p>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Environmental Provision</w:t>
            </w:r>
          </w:p>
        </w:tc>
        <w:tc>
          <w:tcPr>
            <w:tcW w:w="1370" w:type="dxa"/>
            <w:vMerge w:val="restart"/>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SA213146</w:t>
            </w:r>
          </w:p>
        </w:tc>
        <w:tc>
          <w:tcPr>
            <w:tcW w:w="1379" w:type="dxa"/>
            <w:vMerge w:val="restart"/>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SA213146-0-1009</w:t>
            </w: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vMerge/>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p>
        </w:tc>
        <w:tc>
          <w:tcPr>
            <w:tcW w:w="1370"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379"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vMerge/>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p>
        </w:tc>
        <w:tc>
          <w:tcPr>
            <w:tcW w:w="1370"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379"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vMerge/>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p>
        </w:tc>
        <w:tc>
          <w:tcPr>
            <w:tcW w:w="1370" w:type="dxa"/>
            <w:vMerge/>
            <w:vAlign w:val="center"/>
          </w:tcPr>
          <w:p w:rsidR="00B948BE" w:rsidRPr="00B948BE" w:rsidRDefault="00B948BE" w:rsidP="00B948BE">
            <w:pPr>
              <w:jc w:val="center"/>
              <w:rPr>
                <w:rFonts w:ascii="Arial" w:hAnsi="Arial" w:cs="Arial"/>
                <w:b/>
                <w:color w:val="000000" w:themeColor="text1"/>
                <w:lang w:val="en-US" w:eastAsia="ja-JP"/>
              </w:rPr>
            </w:pPr>
          </w:p>
        </w:tc>
        <w:tc>
          <w:tcPr>
            <w:tcW w:w="1379" w:type="dxa"/>
            <w:vMerge/>
            <w:vAlign w:val="center"/>
          </w:tcPr>
          <w:p w:rsidR="00B948BE" w:rsidRPr="00B948BE" w:rsidRDefault="00B948BE" w:rsidP="00B948BE">
            <w:pPr>
              <w:jc w:val="center"/>
              <w:rPr>
                <w:rFonts w:ascii="Arial" w:hAnsi="Arial" w:cs="Arial"/>
                <w:b/>
                <w:color w:val="000000" w:themeColor="text1"/>
                <w:lang w:val="en-US" w:eastAsia="ja-JP"/>
              </w:rPr>
            </w:pP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1,087,100</w:t>
            </w:r>
            <w:r w:rsidRPr="00B948BE">
              <w:rPr>
                <w:rStyle w:val="FootnoteReference"/>
                <w:rFonts w:ascii="Arial" w:hAnsi="Arial" w:cs="Arial"/>
                <w:color w:val="000000" w:themeColor="text1"/>
                <w:lang w:val="en-US" w:eastAsia="ja-JP"/>
              </w:rPr>
              <w:footnoteReference w:id="2"/>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Various</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1,087,100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1,087,100</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1,087,100</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Total</w:t>
            </w:r>
          </w:p>
        </w:tc>
        <w:tc>
          <w:tcPr>
            <w:tcW w:w="1370" w:type="dxa"/>
            <w:vAlign w:val="center"/>
          </w:tcPr>
          <w:p w:rsidR="00B948BE" w:rsidRPr="00B948BE" w:rsidRDefault="00B948BE" w:rsidP="00B948BE">
            <w:pPr>
              <w:jc w:val="center"/>
              <w:rPr>
                <w:rFonts w:ascii="Arial" w:hAnsi="Arial" w:cs="Arial"/>
                <w:color w:val="000000" w:themeColor="text1"/>
                <w:lang w:val="en-US" w:eastAsia="ja-JP"/>
              </w:rPr>
            </w:pPr>
          </w:p>
        </w:tc>
        <w:tc>
          <w:tcPr>
            <w:tcW w:w="1379" w:type="dxa"/>
            <w:vAlign w:val="center"/>
          </w:tcPr>
          <w:p w:rsidR="00B948BE" w:rsidRPr="00B948BE" w:rsidRDefault="00B948BE" w:rsidP="00B948BE">
            <w:pPr>
              <w:jc w:val="center"/>
              <w:rPr>
                <w:rFonts w:ascii="Arial" w:hAnsi="Arial" w:cs="Arial"/>
                <w:color w:val="000000" w:themeColor="text1"/>
                <w:lang w:val="en-US" w:eastAsia="ja-JP"/>
              </w:rPr>
            </w:pPr>
          </w:p>
        </w:tc>
        <w:tc>
          <w:tcPr>
            <w:tcW w:w="1623" w:type="dxa"/>
            <w:vAlign w:val="center"/>
          </w:tcPr>
          <w:p w:rsidR="00B948BE" w:rsidRPr="00B948BE" w:rsidRDefault="00B948BE" w:rsidP="00B948BE">
            <w:pPr>
              <w:jc w:val="center"/>
              <w:rPr>
                <w:rFonts w:ascii="Arial" w:hAnsi="Arial" w:cs="Arial"/>
                <w:b/>
                <w:color w:val="000000" w:themeColor="text1"/>
                <w:lang w:val="en-US" w:eastAsia="ja-JP"/>
              </w:rPr>
            </w:pPr>
          </w:p>
        </w:tc>
        <w:tc>
          <w:tcPr>
            <w:tcW w:w="1367" w:type="dxa"/>
            <w:vAlign w:val="center"/>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b/>
                <w:color w:val="000000" w:themeColor="text1"/>
                <w:lang w:val="en-US" w:eastAsia="ja-JP"/>
              </w:rPr>
            </w:pPr>
          </w:p>
        </w:tc>
        <w:tc>
          <w:tcPr>
            <w:tcW w:w="1375" w:type="dxa"/>
            <w:vAlign w:val="center"/>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7,102,599</w:t>
            </w:r>
          </w:p>
        </w:tc>
        <w:tc>
          <w:tcPr>
            <w:tcW w:w="1375" w:type="dxa"/>
            <w:vAlign w:val="center"/>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7,102,599</w:t>
            </w:r>
          </w:p>
        </w:tc>
        <w:tc>
          <w:tcPr>
            <w:tcW w:w="1381" w:type="dxa"/>
            <w:vAlign w:val="center"/>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7,102,599</w:t>
            </w:r>
          </w:p>
        </w:tc>
        <w:tc>
          <w:tcPr>
            <w:tcW w:w="1341" w:type="dxa"/>
            <w:vAlign w:val="center"/>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0</w:t>
            </w:r>
          </w:p>
        </w:tc>
      </w:tr>
      <w:tr w:rsidR="00B948BE" w:rsidRPr="00B948BE" w:rsidTr="00B948BE">
        <w:tc>
          <w:tcPr>
            <w:tcW w:w="1397" w:type="dxa"/>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Water not diverted through use of Adelaide Desalination Plant</w:t>
            </w:r>
          </w:p>
        </w:tc>
        <w:tc>
          <w:tcPr>
            <w:tcW w:w="1370" w:type="dxa"/>
            <w:vAlign w:val="center"/>
          </w:tcPr>
          <w:p w:rsidR="00B948BE" w:rsidRPr="00B948BE" w:rsidRDefault="00B948BE" w:rsidP="00B948BE">
            <w:pPr>
              <w:jc w:val="center"/>
              <w:rPr>
                <w:rFonts w:ascii="Arial" w:hAnsi="Arial" w:cs="Arial"/>
                <w:color w:val="000000" w:themeColor="text1"/>
                <w:lang w:val="en-US" w:eastAsia="ja-JP"/>
              </w:rPr>
            </w:pPr>
          </w:p>
        </w:tc>
        <w:tc>
          <w:tcPr>
            <w:tcW w:w="1379" w:type="dxa"/>
            <w:vAlign w:val="center"/>
          </w:tcPr>
          <w:p w:rsidR="00B948BE" w:rsidRPr="00B948BE" w:rsidRDefault="00B948BE" w:rsidP="00B948BE">
            <w:pPr>
              <w:jc w:val="center"/>
              <w:rPr>
                <w:rFonts w:ascii="Arial" w:hAnsi="Arial" w:cs="Arial"/>
                <w:color w:val="000000" w:themeColor="text1"/>
                <w:lang w:val="en-US" w:eastAsia="ja-JP"/>
              </w:rPr>
            </w:pP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22,750,000</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r>
    </w:tbl>
    <w:p w:rsidR="0058477B" w:rsidRDefault="0058477B" w:rsidP="00B948BE">
      <w:pPr>
        <w:rPr>
          <w:rFonts w:ascii="Arial" w:hAnsi="Arial" w:cs="Arial"/>
          <w:color w:val="000000" w:themeColor="text1"/>
          <w:lang w:val="en-US" w:eastAsia="ja-JP"/>
        </w:rPr>
      </w:pPr>
    </w:p>
    <w:p w:rsidR="0058477B" w:rsidRDefault="0058477B">
      <w:pPr>
        <w:spacing w:before="0"/>
        <w:rPr>
          <w:rFonts w:ascii="Arial" w:hAnsi="Arial" w:cs="Arial"/>
          <w:color w:val="000000" w:themeColor="text1"/>
          <w:lang w:val="en-US" w:eastAsia="ja-JP"/>
        </w:rPr>
      </w:pPr>
      <w:r>
        <w:rPr>
          <w:rFonts w:ascii="Arial" w:hAnsi="Arial" w:cs="Arial"/>
          <w:color w:val="000000" w:themeColor="text1"/>
          <w:lang w:val="en-US" w:eastAsia="ja-JP"/>
        </w:rPr>
        <w:br w:type="page"/>
      </w:r>
    </w:p>
    <w:p w:rsidR="0058477B" w:rsidRPr="0058477B" w:rsidRDefault="0058477B" w:rsidP="0058477B">
      <w:pPr>
        <w:pStyle w:val="Heading3"/>
        <w:numPr>
          <w:ilvl w:val="0"/>
          <w:numId w:val="0"/>
        </w:numPr>
        <w:ind w:left="567" w:hanging="567"/>
        <w:jc w:val="center"/>
        <w:rPr>
          <w:rFonts w:ascii="Arial" w:hAnsi="Arial" w:cs="Arial"/>
          <w:sz w:val="28"/>
          <w:szCs w:val="28"/>
          <w:lang w:val="en-US" w:eastAsia="ja-JP"/>
        </w:rPr>
      </w:pPr>
      <w:r w:rsidRPr="0058477B">
        <w:rPr>
          <w:rFonts w:ascii="Arial" w:hAnsi="Arial" w:cs="Arial"/>
          <w:sz w:val="28"/>
          <w:szCs w:val="28"/>
          <w:lang w:val="en-US" w:eastAsia="ja-JP"/>
        </w:rPr>
        <w:lastRenderedPageBreak/>
        <w:t>2014-15 Watering Locations Use and Outcomes</w:t>
      </w:r>
    </w:p>
    <w:p w:rsidR="0058477B" w:rsidRPr="0058477B" w:rsidRDefault="0058477B" w:rsidP="0058477B">
      <w:pPr>
        <w:rPr>
          <w:rFonts w:ascii="Arial" w:hAnsi="Arial" w:cs="Arial"/>
          <w:color w:val="000000" w:themeColor="text1"/>
          <w:lang w:val="en-US" w:eastAsia="ja-JP"/>
        </w:rPr>
      </w:pPr>
      <w:r w:rsidRPr="0058477B">
        <w:rPr>
          <w:rFonts w:ascii="Arial" w:hAnsi="Arial" w:cs="Arial"/>
          <w:color w:val="000000" w:themeColor="text1"/>
          <w:lang w:val="en-US" w:eastAsia="ja-JP"/>
        </w:rPr>
        <w:t>Water allocations on account SA213146-0-10009 were used at the following sites. The outcomes at those sites are identified in South Australia's Schedule</w:t>
      </w:r>
      <w:r>
        <w:rPr>
          <w:rFonts w:ascii="Arial" w:hAnsi="Arial" w:cs="Arial"/>
          <w:color w:val="000000" w:themeColor="text1"/>
          <w:lang w:val="en-US" w:eastAsia="ja-JP"/>
        </w:rPr>
        <w:t xml:space="preserve"> </w:t>
      </w:r>
      <w:r w:rsidRPr="0058477B">
        <w:rPr>
          <w:rFonts w:ascii="Arial" w:hAnsi="Arial" w:cs="Arial"/>
          <w:color w:val="000000" w:themeColor="text1"/>
          <w:lang w:val="en-US" w:eastAsia="ja-JP"/>
        </w:rPr>
        <w:t>12 report (specifically indicator 9.3).</w:t>
      </w:r>
    </w:p>
    <w:p w:rsidR="0058477B" w:rsidRDefault="0058477B" w:rsidP="0058477B">
      <w:pPr>
        <w:rPr>
          <w:rFonts w:ascii="Arial" w:hAnsi="Arial" w:cs="Arial"/>
          <w:color w:val="000000" w:themeColor="text1"/>
          <w:lang w:val="en-US" w:eastAsia="ja-JP"/>
        </w:rPr>
        <w:sectPr w:rsidR="0058477B" w:rsidSect="00B948BE">
          <w:pgSz w:w="16838" w:h="11906" w:orient="landscape"/>
          <w:pgMar w:top="1440" w:right="1440" w:bottom="1440" w:left="1440" w:header="708" w:footer="708" w:gutter="0"/>
          <w:cols w:space="708"/>
          <w:docGrid w:linePitch="360"/>
        </w:sectPr>
      </w:pPr>
    </w:p>
    <w:p w:rsidR="0058477B" w:rsidRDefault="0058477B" w:rsidP="0058477B">
      <w:pPr>
        <w:pStyle w:val="ListBullet"/>
        <w:numPr>
          <w:ilvl w:val="0"/>
          <w:numId w:val="0"/>
        </w:numPr>
        <w:ind w:left="425"/>
        <w:rPr>
          <w:rFonts w:ascii="Arial" w:hAnsi="Arial" w:cs="Arial"/>
        </w:rPr>
      </w:pPr>
    </w:p>
    <w:p w:rsidR="0058477B" w:rsidRPr="0058477B" w:rsidRDefault="0058477B" w:rsidP="0058477B">
      <w:pPr>
        <w:pStyle w:val="ListBullet"/>
        <w:rPr>
          <w:rFonts w:ascii="Arial" w:hAnsi="Arial" w:cs="Arial"/>
        </w:rPr>
      </w:pPr>
      <w:r w:rsidRPr="0058477B">
        <w:rPr>
          <w:rFonts w:ascii="Arial" w:hAnsi="Arial" w:cs="Arial"/>
        </w:rPr>
        <w:t>Lock 1 (weir pool raising)</w:t>
      </w:r>
    </w:p>
    <w:p w:rsidR="0058477B" w:rsidRPr="0058477B" w:rsidRDefault="0058477B" w:rsidP="0058477B">
      <w:pPr>
        <w:pStyle w:val="ListBullet"/>
        <w:rPr>
          <w:rFonts w:ascii="Arial" w:hAnsi="Arial" w:cs="Arial"/>
        </w:rPr>
      </w:pPr>
      <w:proofErr w:type="spellStart"/>
      <w:r w:rsidRPr="0058477B">
        <w:rPr>
          <w:rFonts w:ascii="Arial" w:hAnsi="Arial" w:cs="Arial"/>
        </w:rPr>
        <w:t>Tolderol</w:t>
      </w:r>
      <w:proofErr w:type="spellEnd"/>
      <w:r w:rsidRPr="0058477B">
        <w:rPr>
          <w:rFonts w:ascii="Arial" w:hAnsi="Arial" w:cs="Arial"/>
        </w:rPr>
        <w:t xml:space="preserve"> Wetland</w:t>
      </w:r>
    </w:p>
    <w:p w:rsidR="0058477B" w:rsidRPr="0058477B" w:rsidRDefault="0058477B" w:rsidP="0058477B">
      <w:pPr>
        <w:pStyle w:val="ListBullet"/>
        <w:rPr>
          <w:rFonts w:ascii="Arial" w:hAnsi="Arial" w:cs="Arial"/>
        </w:rPr>
      </w:pPr>
      <w:r w:rsidRPr="0058477B">
        <w:rPr>
          <w:rFonts w:ascii="Arial" w:hAnsi="Arial" w:cs="Arial"/>
        </w:rPr>
        <w:t>Bookmark Creek</w:t>
      </w:r>
    </w:p>
    <w:p w:rsidR="0058477B" w:rsidRPr="0058477B" w:rsidRDefault="0058477B" w:rsidP="0058477B">
      <w:pPr>
        <w:pStyle w:val="ListBullet"/>
        <w:rPr>
          <w:rFonts w:ascii="Arial" w:hAnsi="Arial" w:cs="Arial"/>
        </w:rPr>
      </w:pPr>
      <w:r w:rsidRPr="0058477B">
        <w:rPr>
          <w:rFonts w:ascii="Arial" w:hAnsi="Arial" w:cs="Arial"/>
        </w:rPr>
        <w:t>Gerard Wetland</w:t>
      </w:r>
    </w:p>
    <w:p w:rsidR="0058477B" w:rsidRDefault="0058477B" w:rsidP="0058477B">
      <w:pPr>
        <w:pStyle w:val="ListBullet"/>
        <w:rPr>
          <w:rFonts w:ascii="Arial" w:hAnsi="Arial" w:cs="Arial"/>
        </w:rPr>
      </w:pPr>
      <w:r w:rsidRPr="0058477B">
        <w:rPr>
          <w:rFonts w:ascii="Arial" w:hAnsi="Arial" w:cs="Arial"/>
        </w:rPr>
        <w:t>Morgan East Wetland</w:t>
      </w:r>
      <w:r w:rsidRPr="0058477B">
        <w:rPr>
          <w:rFonts w:ascii="Arial" w:hAnsi="Arial" w:cs="Arial"/>
        </w:rPr>
        <w:br w:type="column"/>
      </w:r>
    </w:p>
    <w:p w:rsidR="0058477B" w:rsidRPr="0058477B" w:rsidRDefault="0058477B" w:rsidP="0058477B">
      <w:pPr>
        <w:pStyle w:val="ListBullet"/>
        <w:rPr>
          <w:rFonts w:ascii="Arial" w:hAnsi="Arial" w:cs="Arial"/>
        </w:rPr>
      </w:pPr>
      <w:r w:rsidRPr="0058477B">
        <w:rPr>
          <w:rFonts w:ascii="Arial" w:hAnsi="Arial" w:cs="Arial"/>
        </w:rPr>
        <w:t>Lock 2 (weir pool raising)</w:t>
      </w:r>
    </w:p>
    <w:p w:rsidR="0058477B" w:rsidRPr="0058477B" w:rsidRDefault="0058477B" w:rsidP="0058477B">
      <w:pPr>
        <w:pStyle w:val="ListBullet"/>
        <w:rPr>
          <w:rFonts w:ascii="Arial" w:hAnsi="Arial" w:cs="Arial"/>
        </w:rPr>
      </w:pPr>
      <w:proofErr w:type="spellStart"/>
      <w:r w:rsidRPr="0058477B">
        <w:rPr>
          <w:rFonts w:ascii="Arial" w:hAnsi="Arial" w:cs="Arial"/>
        </w:rPr>
        <w:t>Weila</w:t>
      </w:r>
      <w:proofErr w:type="spellEnd"/>
      <w:r w:rsidRPr="0058477B">
        <w:rPr>
          <w:rFonts w:ascii="Arial" w:hAnsi="Arial" w:cs="Arial"/>
        </w:rPr>
        <w:t xml:space="preserve"> Wetland</w:t>
      </w:r>
    </w:p>
    <w:p w:rsidR="0058477B" w:rsidRPr="0058477B" w:rsidRDefault="0058477B" w:rsidP="0058477B">
      <w:pPr>
        <w:pStyle w:val="ListBullet"/>
        <w:rPr>
          <w:rFonts w:ascii="Arial" w:hAnsi="Arial" w:cs="Arial"/>
        </w:rPr>
      </w:pPr>
      <w:proofErr w:type="spellStart"/>
      <w:r w:rsidRPr="0058477B">
        <w:rPr>
          <w:rFonts w:ascii="Arial" w:hAnsi="Arial" w:cs="Arial"/>
        </w:rPr>
        <w:t>Katarapko</w:t>
      </w:r>
      <w:proofErr w:type="spellEnd"/>
      <w:r w:rsidRPr="0058477B">
        <w:rPr>
          <w:rFonts w:ascii="Arial" w:hAnsi="Arial" w:cs="Arial"/>
        </w:rPr>
        <w:t xml:space="preserve"> Creek</w:t>
      </w:r>
    </w:p>
    <w:p w:rsidR="0058477B" w:rsidRPr="0058477B" w:rsidRDefault="0058477B" w:rsidP="0058477B">
      <w:pPr>
        <w:pStyle w:val="ListBullet"/>
        <w:rPr>
          <w:rFonts w:ascii="Arial" w:hAnsi="Arial" w:cs="Arial"/>
        </w:rPr>
      </w:pPr>
      <w:r w:rsidRPr="0058477B">
        <w:rPr>
          <w:rFonts w:ascii="Arial" w:hAnsi="Arial" w:cs="Arial"/>
        </w:rPr>
        <w:t>Old Loxton Road Wetland</w:t>
      </w:r>
    </w:p>
    <w:p w:rsidR="0058477B" w:rsidRPr="0058477B" w:rsidRDefault="0058477B" w:rsidP="0058477B">
      <w:pPr>
        <w:pStyle w:val="ListBullet"/>
        <w:rPr>
          <w:rFonts w:ascii="Arial" w:hAnsi="Arial" w:cs="Arial"/>
        </w:rPr>
      </w:pPr>
      <w:r w:rsidRPr="0058477B">
        <w:rPr>
          <w:rFonts w:ascii="Arial" w:hAnsi="Arial" w:cs="Arial"/>
        </w:rPr>
        <w:t>Sugar Shack Wetland</w:t>
      </w:r>
    </w:p>
    <w:p w:rsidR="0058477B" w:rsidRDefault="0058477B" w:rsidP="0058477B">
      <w:pPr>
        <w:pStyle w:val="ListBullet"/>
        <w:numPr>
          <w:ilvl w:val="0"/>
          <w:numId w:val="0"/>
        </w:numPr>
        <w:ind w:left="425"/>
        <w:rPr>
          <w:rFonts w:ascii="Arial" w:hAnsi="Arial" w:cs="Arial"/>
        </w:rPr>
      </w:pPr>
      <w:r w:rsidRPr="0058477B">
        <w:rPr>
          <w:rFonts w:ascii="Arial" w:hAnsi="Arial" w:cs="Arial"/>
        </w:rPr>
        <w:br w:type="column"/>
      </w:r>
    </w:p>
    <w:p w:rsidR="0058477B" w:rsidRPr="0058477B" w:rsidRDefault="0058477B" w:rsidP="0058477B">
      <w:pPr>
        <w:pStyle w:val="ListBullet"/>
        <w:rPr>
          <w:rFonts w:ascii="Arial" w:hAnsi="Arial" w:cs="Arial"/>
        </w:rPr>
      </w:pPr>
      <w:r w:rsidRPr="0058477B">
        <w:rPr>
          <w:rFonts w:ascii="Arial" w:hAnsi="Arial" w:cs="Arial"/>
        </w:rPr>
        <w:t>Loveday Basin</w:t>
      </w:r>
    </w:p>
    <w:p w:rsidR="0058477B" w:rsidRPr="0058477B" w:rsidRDefault="0058477B" w:rsidP="0058477B">
      <w:pPr>
        <w:pStyle w:val="ListBullet"/>
        <w:rPr>
          <w:rFonts w:ascii="Arial" w:hAnsi="Arial" w:cs="Arial"/>
        </w:rPr>
      </w:pPr>
      <w:r w:rsidRPr="0058477B">
        <w:rPr>
          <w:rFonts w:ascii="Arial" w:hAnsi="Arial" w:cs="Arial"/>
        </w:rPr>
        <w:t>Templeton Wetland</w:t>
      </w:r>
    </w:p>
    <w:p w:rsidR="0058477B" w:rsidRPr="0058477B" w:rsidRDefault="0058477B" w:rsidP="0058477B">
      <w:pPr>
        <w:pStyle w:val="ListBullet"/>
        <w:rPr>
          <w:rFonts w:ascii="Arial" w:hAnsi="Arial" w:cs="Arial"/>
        </w:rPr>
      </w:pPr>
      <w:proofErr w:type="spellStart"/>
      <w:r w:rsidRPr="0058477B">
        <w:rPr>
          <w:rFonts w:ascii="Arial" w:hAnsi="Arial" w:cs="Arial"/>
        </w:rPr>
        <w:t>Katarapko</w:t>
      </w:r>
      <w:proofErr w:type="spellEnd"/>
      <w:r w:rsidRPr="0058477B">
        <w:rPr>
          <w:rFonts w:ascii="Arial" w:hAnsi="Arial" w:cs="Arial"/>
        </w:rPr>
        <w:t xml:space="preserve"> Island Creek</w:t>
      </w:r>
    </w:p>
    <w:p w:rsidR="0058477B" w:rsidRPr="0058477B" w:rsidRDefault="0058477B" w:rsidP="0058477B">
      <w:pPr>
        <w:pStyle w:val="ListBullet"/>
        <w:rPr>
          <w:rFonts w:ascii="Arial" w:hAnsi="Arial" w:cs="Arial"/>
        </w:rPr>
      </w:pPr>
      <w:r w:rsidRPr="0058477B">
        <w:rPr>
          <w:rFonts w:ascii="Arial" w:hAnsi="Arial" w:cs="Arial"/>
        </w:rPr>
        <w:t>Morgan Conservation Park Wetland</w:t>
      </w:r>
    </w:p>
    <w:p w:rsidR="0058477B" w:rsidRPr="0058477B" w:rsidRDefault="0058477B" w:rsidP="0058477B">
      <w:pPr>
        <w:pStyle w:val="ListBullet"/>
        <w:rPr>
          <w:rFonts w:ascii="Arial" w:hAnsi="Arial" w:cs="Arial"/>
        </w:rPr>
      </w:pPr>
      <w:r w:rsidRPr="0058477B">
        <w:rPr>
          <w:rFonts w:ascii="Arial" w:hAnsi="Arial" w:cs="Arial"/>
        </w:rPr>
        <w:t>Coorong, Lower Lakes and Murray Mouth site</w:t>
      </w:r>
    </w:p>
    <w:p w:rsidR="0058477B" w:rsidRDefault="0058477B" w:rsidP="0058477B">
      <w:pPr>
        <w:rPr>
          <w:rFonts w:ascii="Arial" w:hAnsi="Arial" w:cs="Arial"/>
          <w:color w:val="000000" w:themeColor="text1"/>
          <w:lang w:val="en-US" w:eastAsia="ja-JP"/>
        </w:rPr>
        <w:sectPr w:rsidR="0058477B" w:rsidSect="0058477B">
          <w:type w:val="continuous"/>
          <w:pgSz w:w="16838" w:h="11906" w:orient="landscape"/>
          <w:pgMar w:top="1440" w:right="1440" w:bottom="1440" w:left="1440" w:header="708" w:footer="708" w:gutter="0"/>
          <w:cols w:num="3" w:space="708"/>
          <w:docGrid w:linePitch="360"/>
        </w:sectPr>
      </w:pPr>
    </w:p>
    <w:p w:rsidR="0058477B" w:rsidRPr="0058477B" w:rsidRDefault="0058477B" w:rsidP="0058477B">
      <w:pPr>
        <w:rPr>
          <w:rFonts w:ascii="Arial" w:hAnsi="Arial" w:cs="Arial"/>
          <w:color w:val="000000" w:themeColor="text1"/>
          <w:lang w:val="en-US" w:eastAsia="ja-JP"/>
        </w:rPr>
      </w:pPr>
    </w:p>
    <w:p w:rsidR="00B948BE" w:rsidRPr="00B948BE" w:rsidRDefault="0058477B" w:rsidP="0058477B">
      <w:pPr>
        <w:rPr>
          <w:rFonts w:ascii="Arial" w:hAnsi="Arial" w:cs="Arial"/>
          <w:color w:val="000000" w:themeColor="text1"/>
          <w:lang w:val="en-US" w:eastAsia="ja-JP"/>
        </w:rPr>
      </w:pPr>
      <w:r w:rsidRPr="0058477B">
        <w:rPr>
          <w:rFonts w:ascii="Arial" w:hAnsi="Arial" w:cs="Arial"/>
          <w:color w:val="000000" w:themeColor="text1"/>
          <w:lang w:val="en-US" w:eastAsia="ja-JP"/>
        </w:rPr>
        <w:t>Water not diverted through use of the Adelaide Desalination Plant supported outcomes in the Coorong, Lower Lakes and Murray Mouth.</w:t>
      </w:r>
    </w:p>
    <w:sectPr w:rsidR="00B948BE" w:rsidRPr="00B948BE" w:rsidSect="0058477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BE" w:rsidRDefault="00B948BE">
      <w:r>
        <w:separator/>
      </w:r>
    </w:p>
  </w:endnote>
  <w:endnote w:type="continuationSeparator" w:id="0">
    <w:p w:rsidR="00B948BE" w:rsidRDefault="00B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DB" w:rsidRDefault="00FB7418" w:rsidP="00FB7418">
    <w:pPr>
      <w:pStyle w:val="Footer"/>
    </w:pPr>
    <w:r>
      <w:t>The Australian Government acting through the Department of Agriculture has created this document from a PDF version to meet accessibility requirements. Whilst we have exercised due care and skill in preparing and compiling this word version, errors or inconsistencies to the PDF may appear. The PDF version of this document must be used as the authoritative version.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BE" w:rsidRDefault="00B948BE">
      <w:r>
        <w:separator/>
      </w:r>
    </w:p>
  </w:footnote>
  <w:footnote w:type="continuationSeparator" w:id="0">
    <w:p w:rsidR="00B948BE" w:rsidRDefault="00B948BE">
      <w:r>
        <w:continuationSeparator/>
      </w:r>
    </w:p>
  </w:footnote>
  <w:footnote w:id="1">
    <w:p w:rsidR="00B948BE" w:rsidRDefault="00B948BE">
      <w:pPr>
        <w:pStyle w:val="FootnoteText"/>
      </w:pPr>
      <w:r>
        <w:rPr>
          <w:rStyle w:val="FootnoteReference"/>
        </w:rPr>
        <w:footnoteRef/>
      </w:r>
      <w:r>
        <w:t xml:space="preserve"> </w:t>
      </w:r>
      <w:r w:rsidRPr="00B948BE">
        <w:t xml:space="preserve">High Reliability Water Entitlement and Environmental Provision have the same meaning as defined in the Implementation Plan for Augmentation of </w:t>
      </w:r>
      <w:r>
        <w:t>the Adelaide Desalination Plant.</w:t>
      </w:r>
    </w:p>
  </w:footnote>
  <w:footnote w:id="2">
    <w:p w:rsidR="00B948BE" w:rsidRDefault="00B948BE">
      <w:pPr>
        <w:pStyle w:val="FootnoteText"/>
      </w:pPr>
      <w:r>
        <w:rPr>
          <w:rStyle w:val="FootnoteReference"/>
        </w:rPr>
        <w:footnoteRef/>
      </w:r>
      <w:r>
        <w:t xml:space="preserve"> </w:t>
      </w:r>
      <w:r w:rsidRPr="00B948BE">
        <w:t>Water allocations purchased from NSW irrigation districts in the Southern Connected Basin.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92746"/>
    <w:multiLevelType w:val="multilevel"/>
    <w:tmpl w:val="BAC23EE0"/>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1"/>
  </w:num>
  <w:num w:numId="3">
    <w:abstractNumId w:val="5"/>
  </w:num>
  <w:num w:numId="4">
    <w:abstractNumId w:val="6"/>
  </w:num>
  <w:num w:numId="5">
    <w:abstractNumId w:val="3"/>
  </w:num>
  <w:num w:numId="6">
    <w:abstractNumId w:val="8"/>
  </w:num>
  <w:num w:numId="7">
    <w:abstractNumId w:val="16"/>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2"/>
  </w:num>
  <w:num w:numId="15">
    <w:abstractNumId w:val="1"/>
  </w:num>
  <w:num w:numId="16">
    <w:abstractNumId w:val="0"/>
  </w:num>
  <w:num w:numId="17">
    <w:abstractNumId w:val="4"/>
  </w:num>
  <w:num w:numId="18">
    <w:abstractNumId w:val="12"/>
  </w:num>
  <w:num w:numId="19">
    <w:abstractNumId w:val="14"/>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BE"/>
    <w:rsid w:val="000C55EB"/>
    <w:rsid w:val="001270DB"/>
    <w:rsid w:val="00461807"/>
    <w:rsid w:val="0054747E"/>
    <w:rsid w:val="0058477B"/>
    <w:rsid w:val="00626E31"/>
    <w:rsid w:val="00905F94"/>
    <w:rsid w:val="00AA4B88"/>
    <w:rsid w:val="00B57188"/>
    <w:rsid w:val="00B948BE"/>
    <w:rsid w:val="00BD51B8"/>
    <w:rsid w:val="00C6669A"/>
    <w:rsid w:val="00CC3508"/>
    <w:rsid w:val="00E3214D"/>
    <w:rsid w:val="00FB7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81E8AF-E6B4-46CF-9D32-BE98B8C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48BE"/>
    <w:pPr>
      <w:spacing w:before="0"/>
    </w:pPr>
    <w:rPr>
      <w:sz w:val="20"/>
      <w:szCs w:val="20"/>
    </w:rPr>
  </w:style>
  <w:style w:type="character" w:customStyle="1" w:styleId="FootnoteTextChar">
    <w:name w:val="Footnote Text Char"/>
    <w:basedOn w:val="DefaultParagraphFont"/>
    <w:link w:val="FootnoteText"/>
    <w:uiPriority w:val="99"/>
    <w:semiHidden/>
    <w:rsid w:val="00B948BE"/>
    <w:rPr>
      <w:lang w:eastAsia="en-US"/>
    </w:rPr>
  </w:style>
  <w:style w:type="character" w:styleId="FootnoteReference">
    <w:name w:val="footnote reference"/>
    <w:basedOn w:val="DefaultParagraphFont"/>
    <w:uiPriority w:val="99"/>
    <w:semiHidden/>
    <w:unhideWhenUsed/>
    <w:rsid w:val="00B9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2984307-B0C6-4E44-87E8-A7AA5D265FBA}">
  <ds:schemaRefs>
    <ds:schemaRef ds:uri="http://schemas.openxmlformats.org/officeDocument/2006/bibliography"/>
  </ds:schemaRefs>
</ds:datastoreItem>
</file>

<file path=customXml/itemProps2.xml><?xml version="1.0" encoding="utf-8"?>
<ds:datastoreItem xmlns:ds="http://schemas.openxmlformats.org/officeDocument/2006/customXml" ds:itemID="{51FF414A-E52C-4880-8AEA-431971293CC5}"/>
</file>

<file path=customXml/itemProps3.xml><?xml version="1.0" encoding="utf-8"?>
<ds:datastoreItem xmlns:ds="http://schemas.openxmlformats.org/officeDocument/2006/customXml" ds:itemID="{DCA04078-91D3-4AF5-A65C-BA59A8DD4A40}"/>
</file>

<file path=customXml/itemProps4.xml><?xml version="1.0" encoding="utf-8"?>
<ds:datastoreItem xmlns:ds="http://schemas.openxmlformats.org/officeDocument/2006/customXml" ds:itemID="{D45A43F4-F44C-442A-8994-677273CF1CFB}"/>
</file>

<file path=docProps/app.xml><?xml version="1.0" encoding="utf-8"?>
<Properties xmlns="http://schemas.openxmlformats.org/officeDocument/2006/extended-properties" xmlns:vt="http://schemas.openxmlformats.org/officeDocument/2006/docPropsVTypes">
  <Template>Normal.dotm</Template>
  <TotalTime>19</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Bond, Damien</cp:lastModifiedBy>
  <cp:revision>5</cp:revision>
  <cp:lastPrinted>2015-08-14T05:36:00Z</cp:lastPrinted>
  <dcterms:created xsi:type="dcterms:W3CDTF">2019-08-06T01:57:00Z</dcterms:created>
  <dcterms:modified xsi:type="dcterms:W3CDTF">2019-08-06T03:20:00Z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