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REF </w:t>
      </w:r>
      <w:r w:rsidR="00830F5B" w:rsidRPr="00830F5B">
        <w:rPr>
          <w:rFonts w:ascii="Arial" w:hAnsi="Arial" w:cs="Arial"/>
          <w:lang w:val="en-US" w:eastAsia="ja-JP"/>
        </w:rPr>
        <w:t>DEWNRD-00008938</w:t>
      </w: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Date: </w:t>
      </w:r>
      <w:r w:rsidR="00830F5B">
        <w:rPr>
          <w:rFonts w:ascii="Arial" w:hAnsi="Arial" w:cs="Arial"/>
          <w:lang w:val="en-US" w:eastAsia="ja-JP"/>
        </w:rPr>
        <w:t>30 November 2016</w:t>
      </w:r>
    </w:p>
    <w:p w:rsidR="00B948BE" w:rsidRPr="00B948BE" w:rsidRDefault="00B948BE" w:rsidP="00B948BE">
      <w:pPr>
        <w:rPr>
          <w:rFonts w:ascii="Arial" w:hAnsi="Arial" w:cs="Arial"/>
          <w:lang w:val="en-US" w:eastAsia="ja-JP"/>
        </w:rPr>
      </w:pPr>
    </w:p>
    <w:p w:rsidR="00B948BE" w:rsidRPr="00B948BE" w:rsidRDefault="00B948BE" w:rsidP="00830F5B">
      <w:pPr>
        <w:rPr>
          <w:rFonts w:ascii="Arial" w:hAnsi="Arial" w:cs="Arial"/>
          <w:lang w:val="en-US" w:eastAsia="ja-JP"/>
        </w:rPr>
      </w:pPr>
      <w:r w:rsidRPr="00B948BE">
        <w:rPr>
          <w:rFonts w:ascii="Arial" w:hAnsi="Arial" w:cs="Arial"/>
          <w:highlight w:val="black"/>
          <w:lang w:val="en-US" w:eastAsia="ja-JP"/>
        </w:rPr>
        <w:t>*Name redacted*</w:t>
      </w:r>
      <w:r w:rsidRPr="00B948BE">
        <w:rPr>
          <w:rFonts w:ascii="Arial" w:hAnsi="Arial" w:cs="Arial"/>
          <w:lang w:val="en-US" w:eastAsia="ja-JP"/>
        </w:rPr>
        <w:br/>
      </w:r>
      <w:r w:rsidR="00830F5B" w:rsidRPr="00830F5B">
        <w:rPr>
          <w:rFonts w:ascii="Arial" w:hAnsi="Arial" w:cs="Arial"/>
          <w:lang w:val="en-US" w:eastAsia="ja-JP"/>
        </w:rPr>
        <w:t>Water Recovery Branch</w:t>
      </w:r>
      <w:r w:rsidR="00830F5B">
        <w:rPr>
          <w:rFonts w:ascii="Arial" w:hAnsi="Arial" w:cs="Arial"/>
          <w:lang w:val="en-US" w:eastAsia="ja-JP"/>
        </w:rPr>
        <w:br/>
      </w:r>
      <w:r w:rsidR="00830F5B" w:rsidRPr="00830F5B">
        <w:rPr>
          <w:rFonts w:ascii="Arial" w:hAnsi="Arial" w:cs="Arial"/>
          <w:lang w:val="en-US" w:eastAsia="ja-JP"/>
        </w:rPr>
        <w:t>Department of the Environment</w:t>
      </w:r>
      <w:r w:rsidR="00830F5B">
        <w:rPr>
          <w:rFonts w:ascii="Arial" w:hAnsi="Arial" w:cs="Arial"/>
          <w:lang w:val="en-US" w:eastAsia="ja-JP"/>
        </w:rPr>
        <w:br/>
      </w:r>
      <w:r w:rsidR="00830F5B" w:rsidRPr="00830F5B">
        <w:rPr>
          <w:rFonts w:ascii="Arial" w:hAnsi="Arial" w:cs="Arial"/>
          <w:lang w:val="en-US" w:eastAsia="ja-JP"/>
        </w:rPr>
        <w:t>GPO Box 787</w:t>
      </w:r>
      <w:r w:rsidR="00830F5B">
        <w:rPr>
          <w:rFonts w:ascii="Arial" w:hAnsi="Arial" w:cs="Arial"/>
          <w:lang w:val="en-US" w:eastAsia="ja-JP"/>
        </w:rPr>
        <w:br/>
      </w:r>
      <w:r w:rsidR="00830F5B" w:rsidRPr="00830F5B">
        <w:rPr>
          <w:rFonts w:ascii="Arial" w:hAnsi="Arial" w:cs="Arial"/>
          <w:lang w:val="en-US" w:eastAsia="ja-JP"/>
        </w:rPr>
        <w:t>Canberra ACT 2600</w:t>
      </w:r>
    </w:p>
    <w:p w:rsidR="00B948BE" w:rsidRPr="00B948BE" w:rsidRDefault="00B948BE" w:rsidP="00B948BE">
      <w:pPr>
        <w:rPr>
          <w:rFonts w:ascii="Arial" w:hAnsi="Arial" w:cs="Arial"/>
          <w:lang w:val="en-US" w:eastAsia="ja-JP"/>
        </w:rPr>
      </w:pP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Dear </w:t>
      </w:r>
      <w:r w:rsidRPr="00B948BE">
        <w:rPr>
          <w:rFonts w:ascii="Arial" w:hAnsi="Arial" w:cs="Arial"/>
          <w:highlight w:val="black"/>
          <w:lang w:val="en-US" w:eastAsia="ja-JP"/>
        </w:rPr>
        <w:t>*Name redacted*</w:t>
      </w:r>
    </w:p>
    <w:p w:rsidR="00830F5B" w:rsidRPr="00830F5B" w:rsidRDefault="00830F5B" w:rsidP="00830F5B">
      <w:pPr>
        <w:rPr>
          <w:rFonts w:ascii="Arial" w:hAnsi="Arial" w:cs="Arial"/>
          <w:lang w:val="en-US" w:eastAsia="ja-JP"/>
        </w:rPr>
      </w:pPr>
      <w:r w:rsidRPr="00830F5B">
        <w:rPr>
          <w:rFonts w:ascii="Arial" w:hAnsi="Arial" w:cs="Arial"/>
          <w:lang w:val="en-US" w:eastAsia="ja-JP"/>
        </w:rPr>
        <w:t>I write regarding South Australia's obligations under Schedule 1 of the Implementation Plan for Augmentation of the Adelaide Desalination Plant (the Agreement).</w:t>
      </w:r>
    </w:p>
    <w:p w:rsidR="00830F5B" w:rsidRPr="00830F5B" w:rsidRDefault="00830F5B" w:rsidP="00830F5B">
      <w:pPr>
        <w:rPr>
          <w:rFonts w:ascii="Arial" w:hAnsi="Arial" w:cs="Arial"/>
          <w:lang w:val="en-US" w:eastAsia="ja-JP"/>
        </w:rPr>
      </w:pPr>
      <w:r w:rsidRPr="00830F5B">
        <w:rPr>
          <w:rFonts w:ascii="Arial" w:hAnsi="Arial" w:cs="Arial"/>
          <w:lang w:val="en-US" w:eastAsia="ja-JP"/>
        </w:rPr>
        <w:t>In 2015-16 a further 7.7 GL of water was delivered by the Adelaide Desalination Plant for use in the metropolitan Adelaide water supply. This brings the total to 133.20 GL since commencement of the plant.</w:t>
      </w:r>
    </w:p>
    <w:p w:rsidR="00830F5B" w:rsidRPr="00830F5B" w:rsidRDefault="00830F5B" w:rsidP="00830F5B">
      <w:pPr>
        <w:rPr>
          <w:rFonts w:ascii="Arial" w:hAnsi="Arial" w:cs="Arial"/>
          <w:lang w:val="en-US" w:eastAsia="ja-JP"/>
        </w:rPr>
      </w:pPr>
      <w:r w:rsidRPr="00830F5B">
        <w:rPr>
          <w:rFonts w:ascii="Arial" w:hAnsi="Arial" w:cs="Arial"/>
          <w:lang w:val="en-US" w:eastAsia="ja-JP"/>
        </w:rPr>
        <w:t xml:space="preserve">The water that was not diverted from the River Murray has supplemented the State's planned environmental watering activities by contributing to the environmental watering requirements of environmental assets, in particular the Lower Lakes, Coorong and Murray Mouth. On this basis, the State requests that 7.7 GL is </w:t>
      </w:r>
      <w:proofErr w:type="spellStart"/>
      <w:r w:rsidRPr="00830F5B">
        <w:rPr>
          <w:rFonts w:ascii="Arial" w:hAnsi="Arial" w:cs="Arial"/>
          <w:lang w:val="en-US" w:eastAsia="ja-JP"/>
        </w:rPr>
        <w:t>recognised</w:t>
      </w:r>
      <w:proofErr w:type="spellEnd"/>
      <w:r w:rsidRPr="00830F5B">
        <w:rPr>
          <w:rFonts w:ascii="Arial" w:hAnsi="Arial" w:cs="Arial"/>
          <w:lang w:val="en-US" w:eastAsia="ja-JP"/>
        </w:rPr>
        <w:t xml:space="preserve"> as providing an environmental benefit to the Lower Lakes Coorong and Murray Mouth in accordance with the environmental provision requirements under the Agreement.</w:t>
      </w:r>
    </w:p>
    <w:p w:rsidR="00830F5B" w:rsidRPr="004A026E" w:rsidRDefault="00830F5B" w:rsidP="00830F5B">
      <w:pPr>
        <w:rPr>
          <w:rFonts w:ascii="Arial" w:hAnsi="Arial" w:cs="Arial"/>
          <w:lang w:val="en-US" w:eastAsia="ja-JP"/>
        </w:rPr>
      </w:pPr>
      <w:r w:rsidRPr="004A026E">
        <w:rPr>
          <w:rFonts w:ascii="Arial" w:hAnsi="Arial" w:cs="Arial"/>
          <w:lang w:val="en-US" w:eastAsia="ja-JP"/>
        </w:rPr>
        <w:t>The following allocations have been accounted for on account SA213146-0-10009:</w:t>
      </w:r>
    </w:p>
    <w:p w:rsidR="00830F5B" w:rsidRPr="004A026E" w:rsidRDefault="00830F5B" w:rsidP="00830F5B">
      <w:pPr>
        <w:pStyle w:val="ListBullet"/>
        <w:rPr>
          <w:rFonts w:ascii="Arial" w:hAnsi="Arial" w:cs="Arial"/>
          <w:lang w:val="en-US" w:eastAsia="ja-JP"/>
        </w:rPr>
      </w:pPr>
      <w:r w:rsidRPr="004A026E">
        <w:rPr>
          <w:rFonts w:ascii="Arial" w:hAnsi="Arial" w:cs="Arial"/>
          <w:lang w:val="en-US" w:eastAsia="ja-JP"/>
        </w:rPr>
        <w:t>6,015 ML - received from 100% allocation against the high reliability class 3a entitlement held by the Minister for Water and the River Murray.</w:t>
      </w:r>
    </w:p>
    <w:p w:rsidR="00830F5B" w:rsidRPr="004A026E" w:rsidRDefault="00830F5B" w:rsidP="00830F5B">
      <w:pPr>
        <w:pStyle w:val="ListBullet"/>
        <w:rPr>
          <w:rFonts w:ascii="Arial" w:hAnsi="Arial" w:cs="Arial"/>
          <w:lang w:val="en-US" w:eastAsia="ja-JP"/>
        </w:rPr>
      </w:pPr>
      <w:r w:rsidRPr="004A026E">
        <w:rPr>
          <w:rFonts w:ascii="Arial" w:hAnsi="Arial" w:cs="Arial"/>
          <w:lang w:val="en-US" w:eastAsia="ja-JP"/>
        </w:rPr>
        <w:t>0.5 ML — received from 100% allocation against the high reliability class 1 entitlement held by the Minister for Water and the River Murray.</w:t>
      </w:r>
    </w:p>
    <w:p w:rsidR="00830F5B" w:rsidRPr="004A026E" w:rsidRDefault="00830F5B" w:rsidP="00830F5B">
      <w:pPr>
        <w:pStyle w:val="ListBullet"/>
        <w:rPr>
          <w:rFonts w:ascii="Arial" w:hAnsi="Arial" w:cs="Arial"/>
          <w:lang w:val="en-US" w:eastAsia="ja-JP"/>
        </w:rPr>
      </w:pPr>
      <w:r w:rsidRPr="004A026E">
        <w:rPr>
          <w:rFonts w:ascii="Arial" w:hAnsi="Arial" w:cs="Arial"/>
          <w:lang w:val="en-US" w:eastAsia="ja-JP"/>
        </w:rPr>
        <w:t>4,999 ML received from 100% allocation against the high reliability class 7 entitlement held by the Minister for Water and the River Murray.</w:t>
      </w:r>
    </w:p>
    <w:p w:rsidR="00830F5B" w:rsidRPr="004A026E" w:rsidRDefault="00830F5B" w:rsidP="00830F5B">
      <w:pPr>
        <w:pStyle w:val="ListBullet"/>
        <w:rPr>
          <w:rFonts w:ascii="Arial" w:hAnsi="Arial" w:cs="Arial"/>
          <w:lang w:val="en-US" w:eastAsia="ja-JP"/>
        </w:rPr>
      </w:pPr>
      <w:r w:rsidRPr="004A026E">
        <w:rPr>
          <w:rFonts w:ascii="Arial" w:hAnsi="Arial" w:cs="Arial"/>
          <w:lang w:val="en-US" w:eastAsia="ja-JP"/>
        </w:rPr>
        <w:t>386 ML of allocation from New South Wales.</w:t>
      </w:r>
    </w:p>
    <w:p w:rsidR="00830F5B" w:rsidRPr="00830F5B" w:rsidRDefault="00830F5B" w:rsidP="00830F5B">
      <w:pPr>
        <w:rPr>
          <w:rFonts w:ascii="Arial" w:hAnsi="Arial" w:cs="Arial"/>
          <w:lang w:val="en-US" w:eastAsia="ja-JP"/>
        </w:rPr>
      </w:pPr>
      <w:r w:rsidRPr="00830F5B">
        <w:rPr>
          <w:rFonts w:ascii="Arial" w:hAnsi="Arial" w:cs="Arial"/>
          <w:lang w:val="en-US" w:eastAsia="ja-JP"/>
        </w:rPr>
        <w:t>In addition, 4,509 ML of allocation was used from SA118100-1-0009 for the environment.</w:t>
      </w:r>
    </w:p>
    <w:p w:rsidR="00830F5B" w:rsidRPr="00830F5B" w:rsidRDefault="00830F5B" w:rsidP="00830F5B">
      <w:pPr>
        <w:rPr>
          <w:rFonts w:ascii="Arial" w:hAnsi="Arial" w:cs="Arial"/>
          <w:lang w:val="en-US" w:eastAsia="ja-JP"/>
        </w:rPr>
      </w:pPr>
      <w:r w:rsidRPr="00830F5B">
        <w:rPr>
          <w:rFonts w:ascii="Arial" w:hAnsi="Arial" w:cs="Arial"/>
          <w:lang w:val="en-US" w:eastAsia="ja-JP"/>
        </w:rPr>
        <w:t xml:space="preserve">As required under the Agreement, the attached report identifies the </w:t>
      </w:r>
      <w:proofErr w:type="spellStart"/>
      <w:r w:rsidRPr="00830F5B">
        <w:rPr>
          <w:rFonts w:ascii="Arial" w:hAnsi="Arial" w:cs="Arial"/>
          <w:lang w:val="en-US" w:eastAsia="ja-JP"/>
        </w:rPr>
        <w:t>licences</w:t>
      </w:r>
      <w:proofErr w:type="spellEnd"/>
      <w:r w:rsidRPr="00830F5B">
        <w:rPr>
          <w:rFonts w:ascii="Arial" w:hAnsi="Arial" w:cs="Arial"/>
          <w:lang w:val="en-US" w:eastAsia="ja-JP"/>
        </w:rPr>
        <w:t xml:space="preserve"> and volumes of allocation accounted for in regards to the high reliability entitlement and environmental allocation and the outcomes from the use of this water. The use of this environmental water has also been reported in South Australia's Schedule 12 reporting, as a part of indicators 9.1.2 &amp; 9.1.3.</w:t>
      </w:r>
    </w:p>
    <w:p w:rsidR="004A026E" w:rsidRDefault="004A026E">
      <w:pPr>
        <w:spacing w:before="0"/>
        <w:rPr>
          <w:rFonts w:ascii="Arial" w:hAnsi="Arial" w:cs="Arial"/>
          <w:lang w:val="en-US" w:eastAsia="ja-JP"/>
        </w:rPr>
      </w:pPr>
      <w:r>
        <w:rPr>
          <w:rFonts w:ascii="Arial" w:hAnsi="Arial" w:cs="Arial"/>
          <w:lang w:val="en-US" w:eastAsia="ja-JP"/>
        </w:rPr>
        <w:br w:type="page"/>
      </w:r>
    </w:p>
    <w:p w:rsidR="00B948BE" w:rsidRPr="00B948BE" w:rsidRDefault="00830F5B" w:rsidP="00830F5B">
      <w:pPr>
        <w:rPr>
          <w:rFonts w:ascii="Arial" w:hAnsi="Arial" w:cs="Arial"/>
          <w:b/>
          <w:color w:val="000000" w:themeColor="text1"/>
          <w:lang w:val="en-US" w:eastAsia="ja-JP"/>
        </w:rPr>
      </w:pPr>
      <w:r w:rsidRPr="00830F5B">
        <w:rPr>
          <w:rFonts w:ascii="Arial" w:hAnsi="Arial" w:cs="Arial"/>
          <w:lang w:val="en-US" w:eastAsia="ja-JP"/>
        </w:rPr>
        <w:lastRenderedPageBreak/>
        <w:t>South Australia's interim report under section 71 of the Water Act 2007 was submitted to the Murray-Darling Basin Authority (MDBA) on 31 October 2016. State and MDBA officers are currently working through the details of the report and I will provide you with advice from the MDBA confirming that the environmental water provisions have been accounted for once that process is complete</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Yours sincerely</w:t>
      </w:r>
    </w:p>
    <w:p w:rsidR="00B948BE" w:rsidRPr="00B948BE" w:rsidRDefault="00B948BE" w:rsidP="00B948BE">
      <w:pPr>
        <w:rPr>
          <w:rFonts w:ascii="Arial" w:hAnsi="Arial" w:cs="Arial"/>
          <w:color w:val="000000" w:themeColor="text1"/>
          <w:lang w:val="en-US" w:eastAsia="ja-JP"/>
        </w:rPr>
      </w:pP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highlight w:val="black"/>
          <w:lang w:val="en-US" w:eastAsia="ja-JP"/>
        </w:rPr>
        <w:t>*Signature redacted*</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highlight w:val="black"/>
          <w:lang w:val="en-US" w:eastAsia="ja-JP"/>
        </w:rPr>
        <w:t>*Name redacted*</w:t>
      </w:r>
    </w:p>
    <w:p w:rsidR="00B948BE" w:rsidRPr="00B948BE" w:rsidRDefault="00B948BE" w:rsidP="00B948BE">
      <w:pPr>
        <w:rPr>
          <w:rFonts w:ascii="Arial" w:hAnsi="Arial" w:cs="Arial"/>
          <w:b/>
          <w:color w:val="000000" w:themeColor="text1"/>
          <w:lang w:val="en-US" w:eastAsia="ja-JP"/>
        </w:rPr>
      </w:pPr>
      <w:r w:rsidRPr="00B948BE">
        <w:rPr>
          <w:rFonts w:ascii="Arial" w:hAnsi="Arial" w:cs="Arial"/>
          <w:b/>
          <w:color w:val="000000" w:themeColor="text1"/>
          <w:lang w:val="en-US" w:eastAsia="ja-JP"/>
        </w:rPr>
        <w:t>DIRECTOR, WATER AND CLIMATE CHANGE</w:t>
      </w:r>
    </w:p>
    <w:p w:rsidR="00B948BE" w:rsidRPr="00B948BE" w:rsidRDefault="00B948BE" w:rsidP="00B948BE">
      <w:pPr>
        <w:rPr>
          <w:rFonts w:ascii="Arial" w:hAnsi="Arial" w:cs="Arial"/>
          <w:color w:val="000000" w:themeColor="text1"/>
          <w:lang w:val="en-US" w:eastAsia="ja-JP"/>
        </w:rPr>
        <w:sectPr w:rsidR="00B948BE" w:rsidRPr="00B948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B948BE" w:rsidRPr="00B948BE" w:rsidRDefault="00B948BE" w:rsidP="00B948BE">
      <w:pPr>
        <w:pStyle w:val="Heading3"/>
        <w:numPr>
          <w:ilvl w:val="0"/>
          <w:numId w:val="0"/>
        </w:numPr>
        <w:ind w:left="567" w:hanging="567"/>
        <w:jc w:val="center"/>
        <w:rPr>
          <w:rFonts w:ascii="Arial" w:hAnsi="Arial" w:cs="Arial"/>
          <w:sz w:val="28"/>
          <w:szCs w:val="28"/>
          <w:lang w:val="en-US" w:eastAsia="ja-JP"/>
        </w:rPr>
      </w:pPr>
      <w:r w:rsidRPr="00B948BE">
        <w:rPr>
          <w:rFonts w:ascii="Arial" w:hAnsi="Arial" w:cs="Arial"/>
          <w:sz w:val="28"/>
          <w:szCs w:val="28"/>
          <w:lang w:val="en-US" w:eastAsia="ja-JP"/>
        </w:rPr>
        <w:lastRenderedPageBreak/>
        <w:t>ADELAIDE DESALINATION PLANT</w:t>
      </w:r>
    </w:p>
    <w:p w:rsidR="00B948BE" w:rsidRPr="00B948BE" w:rsidRDefault="00B948BE" w:rsidP="00B948BE">
      <w:pPr>
        <w:pStyle w:val="Heading3"/>
        <w:numPr>
          <w:ilvl w:val="0"/>
          <w:numId w:val="0"/>
        </w:numPr>
        <w:ind w:left="567" w:hanging="567"/>
        <w:jc w:val="center"/>
        <w:rPr>
          <w:rFonts w:ascii="Arial" w:hAnsi="Arial" w:cs="Arial"/>
          <w:sz w:val="28"/>
          <w:szCs w:val="28"/>
          <w:lang w:val="en-US" w:eastAsia="ja-JP"/>
        </w:rPr>
      </w:pPr>
      <w:r w:rsidRPr="00B948BE">
        <w:rPr>
          <w:rFonts w:ascii="Arial" w:hAnsi="Arial" w:cs="Arial"/>
          <w:sz w:val="28"/>
          <w:szCs w:val="28"/>
          <w:lang w:val="en-US" w:eastAsia="ja-JP"/>
        </w:rPr>
        <w:t>Report on Environmental Water Allocations, Use and Outcomes (for the year ended 30 June 201</w:t>
      </w:r>
      <w:r w:rsidR="004A026E">
        <w:rPr>
          <w:rFonts w:ascii="Arial" w:hAnsi="Arial" w:cs="Arial"/>
          <w:sz w:val="28"/>
          <w:szCs w:val="28"/>
          <w:lang w:val="en-US" w:eastAsia="ja-JP"/>
        </w:rPr>
        <w:t>6</w:t>
      </w:r>
      <w:r w:rsidRPr="00B948BE">
        <w:rPr>
          <w:rFonts w:ascii="Arial" w:hAnsi="Arial" w:cs="Arial"/>
          <w:sz w:val="28"/>
          <w:szCs w:val="28"/>
          <w:lang w:val="en-US" w:eastAsia="ja-JP"/>
        </w:rPr>
        <w:t>)</w:t>
      </w:r>
    </w:p>
    <w:p w:rsidR="00B948BE" w:rsidRPr="00B948BE" w:rsidRDefault="00B948BE" w:rsidP="00B948BE">
      <w:pPr>
        <w:rPr>
          <w:rFonts w:ascii="Arial" w:hAnsi="Arial" w:cs="Arial"/>
          <w:color w:val="000000" w:themeColor="text1"/>
          <w:lang w:val="en-US" w:eastAsia="ja-JP"/>
        </w:rPr>
      </w:pPr>
    </w:p>
    <w:tbl>
      <w:tblPr>
        <w:tblStyle w:val="TableGrid"/>
        <w:tblW w:w="0" w:type="auto"/>
        <w:tblLook w:val="04A0" w:firstRow="1" w:lastRow="0" w:firstColumn="1" w:lastColumn="0" w:noHBand="0" w:noVBand="1"/>
      </w:tblPr>
      <w:tblGrid>
        <w:gridCol w:w="1745"/>
        <w:gridCol w:w="1318"/>
        <w:gridCol w:w="1354"/>
        <w:gridCol w:w="1745"/>
        <w:gridCol w:w="1321"/>
        <w:gridCol w:w="1185"/>
        <w:gridCol w:w="1352"/>
        <w:gridCol w:w="1352"/>
        <w:gridCol w:w="1355"/>
        <w:gridCol w:w="1226"/>
      </w:tblGrid>
      <w:tr w:rsidR="00B948BE" w:rsidRPr="00B948BE" w:rsidTr="004A026E">
        <w:tc>
          <w:tcPr>
            <w:tcW w:w="1746" w:type="dxa"/>
            <w:vMerge w:val="restart"/>
            <w:tcBorders>
              <w:top w:val="nil"/>
              <w:left w:val="nil"/>
            </w:tcBorders>
          </w:tcPr>
          <w:p w:rsidR="00B948BE" w:rsidRPr="00B948BE" w:rsidRDefault="00B948BE" w:rsidP="00B948BE">
            <w:pPr>
              <w:rPr>
                <w:rFonts w:ascii="Arial" w:hAnsi="Arial" w:cs="Arial"/>
                <w:color w:val="000000" w:themeColor="text1"/>
                <w:lang w:val="en-US" w:eastAsia="ja-JP"/>
              </w:rPr>
            </w:pPr>
          </w:p>
        </w:tc>
        <w:tc>
          <w:tcPr>
            <w:tcW w:w="1329" w:type="dxa"/>
            <w:vMerge w:val="restart"/>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proofErr w:type="spellStart"/>
            <w:r w:rsidRPr="00B948BE">
              <w:rPr>
                <w:rFonts w:ascii="Arial" w:hAnsi="Arial" w:cs="Arial"/>
                <w:b/>
                <w:color w:val="000000" w:themeColor="text1"/>
                <w:lang w:val="en-US" w:eastAsia="ja-JP"/>
              </w:rPr>
              <w:t>Licence</w:t>
            </w:r>
            <w:proofErr w:type="spellEnd"/>
          </w:p>
        </w:tc>
        <w:tc>
          <w:tcPr>
            <w:tcW w:w="1359" w:type="dxa"/>
            <w:vMerge w:val="restart"/>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Account</w:t>
            </w:r>
          </w:p>
        </w:tc>
        <w:tc>
          <w:tcPr>
            <w:tcW w:w="1745" w:type="dxa"/>
            <w:vMerge w:val="restart"/>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Environmental</w:t>
            </w:r>
          </w:p>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Allocation</w:t>
            </w:r>
          </w:p>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(ML)</w:t>
            </w:r>
          </w:p>
        </w:tc>
        <w:tc>
          <w:tcPr>
            <w:tcW w:w="1331" w:type="dxa"/>
            <w:vMerge w:val="restart"/>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Carryover of Balance</w:t>
            </w:r>
          </w:p>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(ML)</w:t>
            </w:r>
          </w:p>
        </w:tc>
        <w:tc>
          <w:tcPr>
            <w:tcW w:w="2533" w:type="dxa"/>
            <w:gridSpan w:val="2"/>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Allocation</w:t>
            </w:r>
          </w:p>
        </w:tc>
        <w:tc>
          <w:tcPr>
            <w:tcW w:w="2676" w:type="dxa"/>
            <w:gridSpan w:val="2"/>
            <w:shd w:val="clear" w:color="auto" w:fill="A6A6A6" w:themeFill="background1" w:themeFillShade="A6"/>
          </w:tcPr>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Environmental Use</w:t>
            </w:r>
          </w:p>
          <w:p w:rsidR="00B948BE" w:rsidRPr="00B948BE" w:rsidRDefault="00B948BE" w:rsidP="00B948BE">
            <w:pPr>
              <w:jc w:val="center"/>
              <w:rPr>
                <w:rFonts w:ascii="Arial" w:hAnsi="Arial" w:cs="Arial"/>
                <w:b/>
                <w:color w:val="000000" w:themeColor="text1"/>
                <w:lang w:val="en-US" w:eastAsia="ja-JP"/>
              </w:rPr>
            </w:pPr>
            <w:r w:rsidRPr="00B948BE">
              <w:rPr>
                <w:rFonts w:ascii="Arial" w:hAnsi="Arial" w:cs="Arial"/>
                <w:b/>
                <w:color w:val="000000" w:themeColor="text1"/>
                <w:lang w:val="en-US" w:eastAsia="ja-JP"/>
              </w:rPr>
              <w:t>(KL)</w:t>
            </w:r>
          </w:p>
        </w:tc>
        <w:tc>
          <w:tcPr>
            <w:tcW w:w="1234" w:type="dxa"/>
            <w:vMerge w:val="restart"/>
            <w:shd w:val="clear" w:color="auto" w:fill="A6A6A6" w:themeFill="background1" w:themeFillShade="A6"/>
          </w:tcPr>
          <w:p w:rsidR="00B948BE" w:rsidRPr="004A026E" w:rsidRDefault="00B948BE" w:rsidP="00B948BE">
            <w:pPr>
              <w:rPr>
                <w:rFonts w:ascii="Arial" w:hAnsi="Arial" w:cs="Arial"/>
                <w:b/>
                <w:color w:val="000000" w:themeColor="text1"/>
                <w:lang w:val="en-US" w:eastAsia="ja-JP"/>
              </w:rPr>
            </w:pPr>
            <w:r w:rsidRPr="004A026E">
              <w:rPr>
                <w:rFonts w:ascii="Arial" w:hAnsi="Arial" w:cs="Arial"/>
                <w:b/>
                <w:color w:val="000000" w:themeColor="text1"/>
                <w:lang w:val="en-US" w:eastAsia="ja-JP"/>
              </w:rPr>
              <w:t>Closing</w:t>
            </w:r>
          </w:p>
          <w:p w:rsidR="00B948BE" w:rsidRPr="004A026E" w:rsidRDefault="00B948BE" w:rsidP="00B948BE">
            <w:pPr>
              <w:rPr>
                <w:rFonts w:ascii="Arial" w:hAnsi="Arial" w:cs="Arial"/>
                <w:b/>
                <w:color w:val="000000" w:themeColor="text1"/>
                <w:lang w:val="en-US" w:eastAsia="ja-JP"/>
              </w:rPr>
            </w:pPr>
            <w:r w:rsidRPr="004A026E">
              <w:rPr>
                <w:rFonts w:ascii="Arial" w:hAnsi="Arial" w:cs="Arial"/>
                <w:b/>
                <w:color w:val="000000" w:themeColor="text1"/>
                <w:lang w:val="en-US" w:eastAsia="ja-JP"/>
              </w:rPr>
              <w:t>Balance</w:t>
            </w:r>
          </w:p>
          <w:p w:rsidR="00B948BE" w:rsidRPr="00B948BE" w:rsidRDefault="00B948BE" w:rsidP="00B948BE">
            <w:pPr>
              <w:rPr>
                <w:rFonts w:ascii="Arial" w:hAnsi="Arial" w:cs="Arial"/>
                <w:color w:val="000000" w:themeColor="text1"/>
                <w:lang w:val="en-US" w:eastAsia="ja-JP"/>
              </w:rPr>
            </w:pPr>
            <w:r w:rsidRPr="004A026E">
              <w:rPr>
                <w:rFonts w:ascii="Arial" w:hAnsi="Arial" w:cs="Arial"/>
                <w:b/>
                <w:color w:val="000000" w:themeColor="text1"/>
                <w:lang w:val="en-US" w:eastAsia="ja-JP"/>
              </w:rPr>
              <w:t>(KL)</w:t>
            </w:r>
          </w:p>
        </w:tc>
      </w:tr>
      <w:tr w:rsidR="00B948BE" w:rsidRPr="00B948BE" w:rsidTr="00B948BE">
        <w:tc>
          <w:tcPr>
            <w:tcW w:w="1397" w:type="dxa"/>
            <w:vMerge/>
            <w:tcBorders>
              <w:left w:val="nil"/>
            </w:tcBorders>
          </w:tcPr>
          <w:p w:rsidR="00B948BE" w:rsidRPr="00B948BE" w:rsidRDefault="00B948BE" w:rsidP="00B948BE">
            <w:pPr>
              <w:rPr>
                <w:rFonts w:ascii="Arial" w:hAnsi="Arial" w:cs="Arial"/>
                <w:color w:val="000000" w:themeColor="text1"/>
                <w:lang w:val="en-US" w:eastAsia="ja-JP"/>
              </w:rPr>
            </w:pPr>
          </w:p>
        </w:tc>
        <w:tc>
          <w:tcPr>
            <w:tcW w:w="1370" w:type="dxa"/>
            <w:vMerge/>
          </w:tcPr>
          <w:p w:rsidR="00B948BE" w:rsidRPr="00B948BE" w:rsidRDefault="00B948BE" w:rsidP="00B948BE">
            <w:pPr>
              <w:rPr>
                <w:rFonts w:ascii="Arial" w:hAnsi="Arial" w:cs="Arial"/>
                <w:color w:val="000000" w:themeColor="text1"/>
                <w:lang w:val="en-US" w:eastAsia="ja-JP"/>
              </w:rPr>
            </w:pPr>
          </w:p>
        </w:tc>
        <w:tc>
          <w:tcPr>
            <w:tcW w:w="1379" w:type="dxa"/>
            <w:vMerge/>
          </w:tcPr>
          <w:p w:rsidR="00B948BE" w:rsidRPr="00B948BE" w:rsidRDefault="00B948BE" w:rsidP="00B948BE">
            <w:pPr>
              <w:rPr>
                <w:rFonts w:ascii="Arial" w:hAnsi="Arial" w:cs="Arial"/>
                <w:color w:val="000000" w:themeColor="text1"/>
                <w:lang w:val="en-US" w:eastAsia="ja-JP"/>
              </w:rPr>
            </w:pPr>
          </w:p>
        </w:tc>
        <w:tc>
          <w:tcPr>
            <w:tcW w:w="1623" w:type="dxa"/>
            <w:vMerge/>
          </w:tcPr>
          <w:p w:rsidR="00B948BE" w:rsidRPr="00B948BE" w:rsidRDefault="00B948BE" w:rsidP="00B948BE">
            <w:pPr>
              <w:rPr>
                <w:rFonts w:ascii="Arial" w:hAnsi="Arial" w:cs="Arial"/>
                <w:color w:val="000000" w:themeColor="text1"/>
                <w:lang w:val="en-US" w:eastAsia="ja-JP"/>
              </w:rPr>
            </w:pPr>
          </w:p>
        </w:tc>
        <w:tc>
          <w:tcPr>
            <w:tcW w:w="1367" w:type="dxa"/>
            <w:vMerge/>
          </w:tcPr>
          <w:p w:rsidR="00B948BE" w:rsidRPr="00B948BE" w:rsidRDefault="00B948BE" w:rsidP="00B948BE">
            <w:pPr>
              <w:rPr>
                <w:rFonts w:ascii="Arial" w:hAnsi="Arial" w:cs="Arial"/>
                <w:color w:val="000000" w:themeColor="text1"/>
                <w:lang w:val="en-US" w:eastAsia="ja-JP"/>
              </w:rPr>
            </w:pPr>
          </w:p>
        </w:tc>
        <w:tc>
          <w:tcPr>
            <w:tcW w:w="1340" w:type="dxa"/>
            <w:shd w:val="clear" w:color="auto" w:fill="A6A6A6" w:themeFill="background1" w:themeFillShade="A6"/>
          </w:tcPr>
          <w:p w:rsidR="00B948BE" w:rsidRPr="004A026E" w:rsidRDefault="00B948BE" w:rsidP="00B948BE">
            <w:pPr>
              <w:rPr>
                <w:rFonts w:ascii="Arial" w:hAnsi="Arial" w:cs="Arial"/>
                <w:b/>
                <w:color w:val="000000" w:themeColor="text1"/>
                <w:lang w:val="en-US" w:eastAsia="ja-JP"/>
              </w:rPr>
            </w:pPr>
            <w:r w:rsidRPr="004A026E">
              <w:rPr>
                <w:rFonts w:ascii="Arial" w:hAnsi="Arial" w:cs="Arial"/>
                <w:b/>
                <w:color w:val="000000" w:themeColor="text1"/>
                <w:lang w:val="en-US" w:eastAsia="ja-JP"/>
              </w:rPr>
              <w:t>%</w:t>
            </w:r>
          </w:p>
        </w:tc>
        <w:tc>
          <w:tcPr>
            <w:tcW w:w="1375" w:type="dxa"/>
            <w:shd w:val="clear" w:color="auto" w:fill="A6A6A6" w:themeFill="background1" w:themeFillShade="A6"/>
          </w:tcPr>
          <w:p w:rsidR="00B948BE" w:rsidRPr="004A026E" w:rsidRDefault="00B948BE" w:rsidP="00B948BE">
            <w:pPr>
              <w:rPr>
                <w:rFonts w:ascii="Arial" w:hAnsi="Arial" w:cs="Arial"/>
                <w:b/>
                <w:color w:val="000000" w:themeColor="text1"/>
                <w:lang w:val="en-US" w:eastAsia="ja-JP"/>
              </w:rPr>
            </w:pPr>
            <w:r w:rsidRPr="004A026E">
              <w:rPr>
                <w:rFonts w:ascii="Arial" w:hAnsi="Arial" w:cs="Arial"/>
                <w:b/>
                <w:color w:val="000000" w:themeColor="text1"/>
                <w:lang w:val="en-US" w:eastAsia="ja-JP"/>
              </w:rPr>
              <w:t>KL</w:t>
            </w:r>
          </w:p>
        </w:tc>
        <w:tc>
          <w:tcPr>
            <w:tcW w:w="1375" w:type="dxa"/>
            <w:shd w:val="clear" w:color="auto" w:fill="A6A6A6" w:themeFill="background1" w:themeFillShade="A6"/>
          </w:tcPr>
          <w:p w:rsidR="00B948BE" w:rsidRPr="004A026E" w:rsidRDefault="00B948BE" w:rsidP="00B948BE">
            <w:pPr>
              <w:rPr>
                <w:rFonts w:ascii="Arial" w:hAnsi="Arial" w:cs="Arial"/>
                <w:b/>
                <w:color w:val="000000" w:themeColor="text1"/>
                <w:lang w:val="en-US" w:eastAsia="ja-JP"/>
              </w:rPr>
            </w:pPr>
            <w:r w:rsidRPr="004A026E">
              <w:rPr>
                <w:rFonts w:ascii="Arial" w:hAnsi="Arial" w:cs="Arial"/>
                <w:b/>
                <w:color w:val="000000" w:themeColor="text1"/>
                <w:lang w:val="en-US" w:eastAsia="ja-JP"/>
              </w:rPr>
              <w:t>Planned</w:t>
            </w:r>
          </w:p>
        </w:tc>
        <w:tc>
          <w:tcPr>
            <w:tcW w:w="1381" w:type="dxa"/>
            <w:shd w:val="clear" w:color="auto" w:fill="A6A6A6" w:themeFill="background1" w:themeFillShade="A6"/>
          </w:tcPr>
          <w:p w:rsidR="00B948BE" w:rsidRPr="004A026E" w:rsidRDefault="00B948BE" w:rsidP="00B948BE">
            <w:pPr>
              <w:rPr>
                <w:rFonts w:ascii="Arial" w:hAnsi="Arial" w:cs="Arial"/>
                <w:b/>
                <w:color w:val="000000" w:themeColor="text1"/>
                <w:lang w:val="en-US" w:eastAsia="ja-JP"/>
              </w:rPr>
            </w:pPr>
            <w:r w:rsidRPr="004A026E">
              <w:rPr>
                <w:rFonts w:ascii="Arial" w:hAnsi="Arial" w:cs="Arial"/>
                <w:b/>
                <w:color w:val="000000" w:themeColor="text1"/>
                <w:lang w:val="en-US" w:eastAsia="ja-JP"/>
              </w:rPr>
              <w:t>Actual</w:t>
            </w:r>
          </w:p>
        </w:tc>
        <w:tc>
          <w:tcPr>
            <w:tcW w:w="1341" w:type="dxa"/>
            <w:vMerge/>
          </w:tcPr>
          <w:p w:rsidR="00B948BE" w:rsidRPr="00B948BE" w:rsidRDefault="00B948BE" w:rsidP="00B948BE">
            <w:pPr>
              <w:rPr>
                <w:rFonts w:ascii="Arial" w:hAnsi="Arial" w:cs="Arial"/>
                <w:color w:val="000000" w:themeColor="text1"/>
                <w:lang w:val="en-US" w:eastAsia="ja-JP"/>
              </w:rPr>
            </w:pPr>
          </w:p>
        </w:tc>
      </w:tr>
      <w:tr w:rsidR="00B948BE" w:rsidRPr="00B948BE" w:rsidTr="00B948BE">
        <w:tc>
          <w:tcPr>
            <w:tcW w:w="1397" w:type="dxa"/>
            <w:vMerge w:val="restart"/>
            <w:shd w:val="clear" w:color="auto" w:fill="A6A6A6" w:themeFill="background1" w:themeFillShade="A6"/>
          </w:tcPr>
          <w:p w:rsidR="00B948BE" w:rsidRPr="00B948BE" w:rsidRDefault="00B948BE" w:rsidP="00B948BE">
            <w:pPr>
              <w:rPr>
                <w:rFonts w:ascii="Arial" w:hAnsi="Arial" w:cs="Arial"/>
                <w:b/>
                <w:color w:val="000000" w:themeColor="text1"/>
                <w:lang w:val="en-US" w:eastAsia="ja-JP"/>
              </w:rPr>
            </w:pPr>
            <w:r w:rsidRPr="00B948BE">
              <w:rPr>
                <w:rFonts w:ascii="Arial" w:hAnsi="Arial" w:cs="Arial"/>
                <w:b/>
                <w:color w:val="000000" w:themeColor="text1"/>
                <w:lang w:val="en-US" w:eastAsia="ja-JP"/>
              </w:rPr>
              <w:t>High Reliability Water Entitlement</w:t>
            </w:r>
            <w:r w:rsidRPr="00B948BE">
              <w:rPr>
                <w:rStyle w:val="FootnoteReference"/>
                <w:rFonts w:ascii="Arial" w:hAnsi="Arial" w:cs="Arial"/>
                <w:b/>
                <w:color w:val="000000" w:themeColor="text1"/>
                <w:lang w:val="en-US" w:eastAsia="ja-JP"/>
              </w:rPr>
              <w:footnoteReference w:id="1"/>
            </w:r>
          </w:p>
          <w:p w:rsidR="00B948BE" w:rsidRPr="00B948BE" w:rsidRDefault="00B948BE" w:rsidP="00B948BE">
            <w:pPr>
              <w:rPr>
                <w:rFonts w:ascii="Arial" w:hAnsi="Arial" w:cs="Arial"/>
                <w:b/>
                <w:color w:val="000000" w:themeColor="text1"/>
                <w:lang w:val="en-US" w:eastAsia="ja-JP"/>
              </w:rPr>
            </w:pPr>
          </w:p>
        </w:tc>
        <w:tc>
          <w:tcPr>
            <w:tcW w:w="1370" w:type="dxa"/>
            <w:vMerge w:val="restart"/>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SA213146</w:t>
            </w:r>
          </w:p>
        </w:tc>
        <w:tc>
          <w:tcPr>
            <w:tcW w:w="1379" w:type="dxa"/>
            <w:vMerge w:val="restart"/>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SA213146-0-1009</w:t>
            </w:r>
          </w:p>
        </w:tc>
        <w:tc>
          <w:tcPr>
            <w:tcW w:w="1623"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6,010,000</w:t>
            </w:r>
          </w:p>
        </w:tc>
        <w:tc>
          <w:tcPr>
            <w:tcW w:w="1367"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c>
          <w:tcPr>
            <w:tcW w:w="1340"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100</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6,010,000</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6,010,000</w:t>
            </w:r>
          </w:p>
        </w:tc>
        <w:tc>
          <w:tcPr>
            <w:tcW w:w="138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6,010,000</w:t>
            </w:r>
          </w:p>
        </w:tc>
        <w:tc>
          <w:tcPr>
            <w:tcW w:w="134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r>
      <w:tr w:rsidR="00B948BE" w:rsidRPr="00B948BE" w:rsidTr="00B948BE">
        <w:tc>
          <w:tcPr>
            <w:tcW w:w="1397" w:type="dxa"/>
            <w:vMerge/>
            <w:shd w:val="clear" w:color="auto" w:fill="A6A6A6" w:themeFill="background1" w:themeFillShade="A6"/>
          </w:tcPr>
          <w:p w:rsidR="00B948BE" w:rsidRPr="00B948BE" w:rsidRDefault="00B948BE" w:rsidP="00B948BE">
            <w:pPr>
              <w:rPr>
                <w:rFonts w:ascii="Arial" w:hAnsi="Arial" w:cs="Arial"/>
                <w:b/>
                <w:color w:val="000000" w:themeColor="text1"/>
                <w:lang w:val="en-US" w:eastAsia="ja-JP"/>
              </w:rPr>
            </w:pPr>
          </w:p>
        </w:tc>
        <w:tc>
          <w:tcPr>
            <w:tcW w:w="1370" w:type="dxa"/>
            <w:vMerge/>
            <w:vAlign w:val="center"/>
          </w:tcPr>
          <w:p w:rsidR="00B948BE" w:rsidRPr="00B948BE" w:rsidRDefault="00B948BE" w:rsidP="00B948BE">
            <w:pPr>
              <w:jc w:val="center"/>
              <w:rPr>
                <w:rFonts w:ascii="Arial" w:hAnsi="Arial" w:cs="Arial"/>
                <w:color w:val="000000" w:themeColor="text1"/>
                <w:lang w:val="en-US" w:eastAsia="ja-JP"/>
              </w:rPr>
            </w:pPr>
          </w:p>
        </w:tc>
        <w:tc>
          <w:tcPr>
            <w:tcW w:w="1379" w:type="dxa"/>
            <w:vMerge/>
            <w:vAlign w:val="center"/>
          </w:tcPr>
          <w:p w:rsidR="00B948BE" w:rsidRPr="00B948BE" w:rsidRDefault="00B948BE" w:rsidP="00B948BE">
            <w:pPr>
              <w:jc w:val="center"/>
              <w:rPr>
                <w:rFonts w:ascii="Arial" w:hAnsi="Arial" w:cs="Arial"/>
                <w:color w:val="000000" w:themeColor="text1"/>
                <w:lang w:val="en-US" w:eastAsia="ja-JP"/>
              </w:rPr>
            </w:pPr>
          </w:p>
        </w:tc>
        <w:tc>
          <w:tcPr>
            <w:tcW w:w="1623"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500</w:t>
            </w:r>
          </w:p>
        </w:tc>
        <w:tc>
          <w:tcPr>
            <w:tcW w:w="1367"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c>
          <w:tcPr>
            <w:tcW w:w="1340"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100</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500</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500</w:t>
            </w:r>
          </w:p>
        </w:tc>
        <w:tc>
          <w:tcPr>
            <w:tcW w:w="138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500</w:t>
            </w:r>
          </w:p>
        </w:tc>
        <w:tc>
          <w:tcPr>
            <w:tcW w:w="134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r>
      <w:tr w:rsidR="00B948BE" w:rsidRPr="00B948BE" w:rsidTr="00B948BE">
        <w:tc>
          <w:tcPr>
            <w:tcW w:w="1397" w:type="dxa"/>
            <w:vMerge/>
            <w:shd w:val="clear" w:color="auto" w:fill="A6A6A6" w:themeFill="background1" w:themeFillShade="A6"/>
          </w:tcPr>
          <w:p w:rsidR="00B948BE" w:rsidRPr="00B948BE" w:rsidRDefault="00B948BE" w:rsidP="00B948BE">
            <w:pPr>
              <w:rPr>
                <w:rFonts w:ascii="Arial" w:hAnsi="Arial" w:cs="Arial"/>
                <w:b/>
                <w:color w:val="000000" w:themeColor="text1"/>
                <w:lang w:val="en-US" w:eastAsia="ja-JP"/>
              </w:rPr>
            </w:pPr>
          </w:p>
        </w:tc>
        <w:tc>
          <w:tcPr>
            <w:tcW w:w="1370" w:type="dxa"/>
            <w:vMerge/>
            <w:vAlign w:val="center"/>
          </w:tcPr>
          <w:p w:rsidR="00B948BE" w:rsidRPr="00B948BE" w:rsidRDefault="00B948BE" w:rsidP="00B948BE">
            <w:pPr>
              <w:jc w:val="center"/>
              <w:rPr>
                <w:rFonts w:ascii="Arial" w:hAnsi="Arial" w:cs="Arial"/>
                <w:color w:val="000000" w:themeColor="text1"/>
                <w:lang w:val="en-US" w:eastAsia="ja-JP"/>
              </w:rPr>
            </w:pPr>
          </w:p>
        </w:tc>
        <w:tc>
          <w:tcPr>
            <w:tcW w:w="1379" w:type="dxa"/>
            <w:vMerge/>
            <w:vAlign w:val="center"/>
          </w:tcPr>
          <w:p w:rsidR="00B948BE" w:rsidRPr="00B948BE" w:rsidRDefault="00B948BE" w:rsidP="00B948BE">
            <w:pPr>
              <w:jc w:val="center"/>
              <w:rPr>
                <w:rFonts w:ascii="Arial" w:hAnsi="Arial" w:cs="Arial"/>
                <w:color w:val="000000" w:themeColor="text1"/>
                <w:lang w:val="en-US" w:eastAsia="ja-JP"/>
              </w:rPr>
            </w:pPr>
          </w:p>
        </w:tc>
        <w:tc>
          <w:tcPr>
            <w:tcW w:w="1623"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4,999</w:t>
            </w:r>
          </w:p>
        </w:tc>
        <w:tc>
          <w:tcPr>
            <w:tcW w:w="1367"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c>
          <w:tcPr>
            <w:tcW w:w="1340"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100</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4,999</w:t>
            </w:r>
          </w:p>
        </w:tc>
        <w:tc>
          <w:tcPr>
            <w:tcW w:w="1375"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4,999</w:t>
            </w:r>
          </w:p>
        </w:tc>
        <w:tc>
          <w:tcPr>
            <w:tcW w:w="138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4,999</w:t>
            </w:r>
          </w:p>
        </w:tc>
        <w:tc>
          <w:tcPr>
            <w:tcW w:w="134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r>
      <w:tr w:rsidR="00B948BE" w:rsidRPr="00B948BE" w:rsidTr="00B948BE">
        <w:tc>
          <w:tcPr>
            <w:tcW w:w="1397" w:type="dxa"/>
            <w:vMerge/>
            <w:shd w:val="clear" w:color="auto" w:fill="A6A6A6" w:themeFill="background1" w:themeFillShade="A6"/>
          </w:tcPr>
          <w:p w:rsidR="00B948BE" w:rsidRPr="00B948BE" w:rsidRDefault="00B948BE" w:rsidP="00B948BE">
            <w:pPr>
              <w:rPr>
                <w:rFonts w:ascii="Arial" w:hAnsi="Arial" w:cs="Arial"/>
                <w:b/>
                <w:color w:val="000000" w:themeColor="text1"/>
                <w:lang w:val="en-US" w:eastAsia="ja-JP"/>
              </w:rPr>
            </w:pPr>
          </w:p>
        </w:tc>
        <w:tc>
          <w:tcPr>
            <w:tcW w:w="1370" w:type="dxa"/>
            <w:vMerge/>
            <w:vAlign w:val="center"/>
          </w:tcPr>
          <w:p w:rsidR="00B948BE" w:rsidRPr="00B948BE" w:rsidRDefault="00B948BE" w:rsidP="00B948BE">
            <w:pPr>
              <w:jc w:val="center"/>
              <w:rPr>
                <w:rFonts w:ascii="Arial" w:hAnsi="Arial" w:cs="Arial"/>
                <w:b/>
                <w:color w:val="000000" w:themeColor="text1"/>
                <w:lang w:val="en-US" w:eastAsia="ja-JP"/>
              </w:rPr>
            </w:pPr>
          </w:p>
        </w:tc>
        <w:tc>
          <w:tcPr>
            <w:tcW w:w="1379" w:type="dxa"/>
            <w:vMerge/>
            <w:vAlign w:val="center"/>
          </w:tcPr>
          <w:p w:rsidR="00B948BE" w:rsidRPr="00B948BE" w:rsidRDefault="00B948BE" w:rsidP="00B948BE">
            <w:pPr>
              <w:jc w:val="center"/>
              <w:rPr>
                <w:rFonts w:ascii="Arial" w:hAnsi="Arial" w:cs="Arial"/>
                <w:b/>
                <w:color w:val="000000" w:themeColor="text1"/>
                <w:lang w:val="en-US" w:eastAsia="ja-JP"/>
              </w:rPr>
            </w:pPr>
          </w:p>
        </w:tc>
        <w:tc>
          <w:tcPr>
            <w:tcW w:w="1623" w:type="dxa"/>
            <w:vAlign w:val="center"/>
          </w:tcPr>
          <w:p w:rsidR="00B948BE" w:rsidRPr="00B948BE" w:rsidRDefault="004A026E" w:rsidP="004A026E">
            <w:pPr>
              <w:jc w:val="center"/>
              <w:rPr>
                <w:rFonts w:ascii="Arial" w:hAnsi="Arial" w:cs="Arial"/>
                <w:color w:val="000000" w:themeColor="text1"/>
                <w:lang w:val="en-US" w:eastAsia="ja-JP"/>
              </w:rPr>
            </w:pPr>
            <w:r>
              <w:rPr>
                <w:rFonts w:ascii="Arial" w:hAnsi="Arial" w:cs="Arial"/>
                <w:color w:val="000000" w:themeColor="text1"/>
                <w:lang w:val="en-US" w:eastAsia="ja-JP"/>
              </w:rPr>
              <w:t>386</w:t>
            </w:r>
            <w:r>
              <w:rPr>
                <w:rStyle w:val="FootnoteReference"/>
                <w:rFonts w:ascii="Arial" w:hAnsi="Arial" w:cs="Arial"/>
                <w:color w:val="000000" w:themeColor="text1"/>
                <w:lang w:val="en-US" w:eastAsia="ja-JP"/>
              </w:rPr>
              <w:footnoteReference w:id="2"/>
            </w:r>
          </w:p>
        </w:tc>
        <w:tc>
          <w:tcPr>
            <w:tcW w:w="1367"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c>
          <w:tcPr>
            <w:tcW w:w="1340"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Various</w:t>
            </w:r>
          </w:p>
        </w:tc>
        <w:tc>
          <w:tcPr>
            <w:tcW w:w="1375" w:type="dxa"/>
            <w:vAlign w:val="center"/>
          </w:tcPr>
          <w:p w:rsidR="00B948BE" w:rsidRPr="00B948BE" w:rsidRDefault="004A026E" w:rsidP="00B948BE">
            <w:pPr>
              <w:jc w:val="center"/>
              <w:rPr>
                <w:rFonts w:ascii="Arial" w:hAnsi="Arial" w:cs="Arial"/>
                <w:color w:val="000000" w:themeColor="text1"/>
                <w:lang w:val="en-US" w:eastAsia="ja-JP"/>
              </w:rPr>
            </w:pPr>
            <w:r>
              <w:rPr>
                <w:rFonts w:ascii="Arial" w:hAnsi="Arial" w:cs="Arial"/>
                <w:color w:val="000000" w:themeColor="text1"/>
                <w:lang w:val="en-US" w:eastAsia="ja-JP"/>
              </w:rPr>
              <w:t>386</w:t>
            </w:r>
          </w:p>
        </w:tc>
        <w:tc>
          <w:tcPr>
            <w:tcW w:w="1375" w:type="dxa"/>
            <w:vAlign w:val="center"/>
          </w:tcPr>
          <w:p w:rsidR="00B948BE" w:rsidRPr="00B948BE" w:rsidRDefault="004A026E" w:rsidP="00B948BE">
            <w:pPr>
              <w:jc w:val="center"/>
              <w:rPr>
                <w:rFonts w:ascii="Arial" w:hAnsi="Arial" w:cs="Arial"/>
                <w:color w:val="000000" w:themeColor="text1"/>
                <w:lang w:val="en-US" w:eastAsia="ja-JP"/>
              </w:rPr>
            </w:pPr>
            <w:r>
              <w:rPr>
                <w:rFonts w:ascii="Arial" w:hAnsi="Arial" w:cs="Arial"/>
                <w:color w:val="000000" w:themeColor="text1"/>
                <w:lang w:val="en-US" w:eastAsia="ja-JP"/>
              </w:rPr>
              <w:t>386</w:t>
            </w:r>
          </w:p>
        </w:tc>
        <w:tc>
          <w:tcPr>
            <w:tcW w:w="1381" w:type="dxa"/>
            <w:vAlign w:val="center"/>
          </w:tcPr>
          <w:p w:rsidR="00B948BE" w:rsidRPr="00B948BE" w:rsidRDefault="004A026E" w:rsidP="00B948BE">
            <w:pPr>
              <w:jc w:val="center"/>
              <w:rPr>
                <w:rFonts w:ascii="Arial" w:hAnsi="Arial" w:cs="Arial"/>
                <w:color w:val="000000" w:themeColor="text1"/>
                <w:lang w:val="en-US" w:eastAsia="ja-JP"/>
              </w:rPr>
            </w:pPr>
            <w:r>
              <w:rPr>
                <w:rFonts w:ascii="Arial" w:hAnsi="Arial" w:cs="Arial"/>
                <w:color w:val="000000" w:themeColor="text1"/>
                <w:lang w:val="en-US" w:eastAsia="ja-JP"/>
              </w:rPr>
              <w:t>386</w:t>
            </w:r>
          </w:p>
        </w:tc>
        <w:tc>
          <w:tcPr>
            <w:tcW w:w="1341" w:type="dxa"/>
            <w:vAlign w:val="center"/>
          </w:tcPr>
          <w:p w:rsidR="00B948BE" w:rsidRPr="00B948BE" w:rsidRDefault="00B948BE" w:rsidP="00B948B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r>
      <w:tr w:rsidR="004A026E" w:rsidRPr="00B948BE" w:rsidTr="00B948BE">
        <w:tc>
          <w:tcPr>
            <w:tcW w:w="1397" w:type="dxa"/>
            <w:shd w:val="clear" w:color="auto" w:fill="A6A6A6" w:themeFill="background1" w:themeFillShade="A6"/>
          </w:tcPr>
          <w:p w:rsidR="004A026E" w:rsidRPr="00B948BE" w:rsidRDefault="004A026E" w:rsidP="004A026E">
            <w:pPr>
              <w:rPr>
                <w:rFonts w:ascii="Arial" w:hAnsi="Arial" w:cs="Arial"/>
                <w:b/>
                <w:color w:val="000000" w:themeColor="text1"/>
                <w:lang w:val="en-US" w:eastAsia="ja-JP"/>
              </w:rPr>
            </w:pPr>
            <w:r w:rsidRPr="00B948BE">
              <w:rPr>
                <w:rFonts w:ascii="Arial" w:hAnsi="Arial" w:cs="Arial"/>
                <w:b/>
                <w:color w:val="000000" w:themeColor="text1"/>
                <w:lang w:val="en-US" w:eastAsia="ja-JP"/>
              </w:rPr>
              <w:t>Environmental Provision</w:t>
            </w:r>
          </w:p>
        </w:tc>
        <w:tc>
          <w:tcPr>
            <w:tcW w:w="1370" w:type="dxa"/>
            <w:vAlign w:val="center"/>
          </w:tcPr>
          <w:p w:rsidR="004A026E" w:rsidRPr="00B948BE" w:rsidRDefault="004A026E" w:rsidP="004A026E">
            <w:pPr>
              <w:jc w:val="center"/>
              <w:rPr>
                <w:rFonts w:ascii="Arial" w:hAnsi="Arial" w:cs="Arial"/>
                <w:color w:val="000000" w:themeColor="text1"/>
                <w:lang w:val="en-US" w:eastAsia="ja-JP"/>
              </w:rPr>
            </w:pPr>
            <w:r>
              <w:rPr>
                <w:rFonts w:ascii="Arial" w:hAnsi="Arial" w:cs="Arial"/>
                <w:color w:val="000000" w:themeColor="text1"/>
                <w:lang w:val="en-US" w:eastAsia="ja-JP"/>
              </w:rPr>
              <w:t>SA118100</w:t>
            </w:r>
          </w:p>
        </w:tc>
        <w:tc>
          <w:tcPr>
            <w:tcW w:w="1379" w:type="dxa"/>
            <w:vAlign w:val="center"/>
          </w:tcPr>
          <w:p w:rsidR="004A026E" w:rsidRPr="00B948BE" w:rsidRDefault="004A026E" w:rsidP="004A026E">
            <w:pPr>
              <w:jc w:val="center"/>
              <w:rPr>
                <w:rFonts w:ascii="Arial" w:hAnsi="Arial" w:cs="Arial"/>
                <w:color w:val="000000" w:themeColor="text1"/>
                <w:lang w:val="en-US" w:eastAsia="ja-JP"/>
              </w:rPr>
            </w:pPr>
            <w:r>
              <w:rPr>
                <w:rFonts w:ascii="Arial" w:hAnsi="Arial" w:cs="Arial"/>
                <w:color w:val="000000" w:themeColor="text1"/>
                <w:lang w:val="en-US" w:eastAsia="ja-JP"/>
              </w:rPr>
              <w:t>SA118100-1-10009</w:t>
            </w:r>
          </w:p>
        </w:tc>
        <w:tc>
          <w:tcPr>
            <w:tcW w:w="1623" w:type="dxa"/>
            <w:vAlign w:val="center"/>
          </w:tcPr>
          <w:p w:rsidR="004A026E" w:rsidRPr="004A026E" w:rsidRDefault="004A026E" w:rsidP="004A026E">
            <w:pPr>
              <w:jc w:val="center"/>
              <w:rPr>
                <w:rFonts w:ascii="Arial" w:hAnsi="Arial" w:cs="Arial"/>
                <w:color w:val="000000" w:themeColor="text1"/>
                <w:lang w:val="en-US" w:eastAsia="ja-JP"/>
              </w:rPr>
            </w:pPr>
            <w:r w:rsidRPr="004A026E">
              <w:rPr>
                <w:rFonts w:ascii="Arial" w:hAnsi="Arial" w:cs="Arial"/>
                <w:color w:val="000000" w:themeColor="text1"/>
                <w:lang w:val="en-US" w:eastAsia="ja-JP"/>
              </w:rPr>
              <w:t>6,491,000</w:t>
            </w:r>
          </w:p>
        </w:tc>
        <w:tc>
          <w:tcPr>
            <w:tcW w:w="1367" w:type="dxa"/>
            <w:vAlign w:val="center"/>
          </w:tcPr>
          <w:p w:rsidR="004A026E" w:rsidRPr="004A026E" w:rsidRDefault="004A026E" w:rsidP="004A026E">
            <w:pPr>
              <w:jc w:val="center"/>
              <w:rPr>
                <w:rFonts w:ascii="Arial" w:hAnsi="Arial" w:cs="Arial"/>
                <w:color w:val="000000" w:themeColor="text1"/>
                <w:lang w:val="en-US" w:eastAsia="ja-JP"/>
              </w:rPr>
            </w:pPr>
            <w:r w:rsidRPr="004A026E">
              <w:rPr>
                <w:rFonts w:ascii="Arial" w:hAnsi="Arial" w:cs="Arial"/>
                <w:color w:val="000000" w:themeColor="text1"/>
                <w:lang w:val="en-US" w:eastAsia="ja-JP"/>
              </w:rPr>
              <w:t>0</w:t>
            </w:r>
          </w:p>
        </w:tc>
        <w:tc>
          <w:tcPr>
            <w:tcW w:w="1340" w:type="dxa"/>
            <w:vAlign w:val="center"/>
          </w:tcPr>
          <w:p w:rsidR="004A026E" w:rsidRPr="004A026E" w:rsidRDefault="004A026E" w:rsidP="004A026E">
            <w:pPr>
              <w:jc w:val="center"/>
              <w:rPr>
                <w:rFonts w:ascii="Arial" w:hAnsi="Arial" w:cs="Arial"/>
                <w:color w:val="000000" w:themeColor="text1"/>
                <w:lang w:val="en-US" w:eastAsia="ja-JP"/>
              </w:rPr>
            </w:pPr>
            <w:r w:rsidRPr="004A026E">
              <w:rPr>
                <w:rFonts w:ascii="Arial" w:hAnsi="Arial" w:cs="Arial"/>
                <w:color w:val="000000" w:themeColor="text1"/>
                <w:lang w:val="en-US" w:eastAsia="ja-JP"/>
              </w:rPr>
              <w:t>100</w:t>
            </w:r>
          </w:p>
        </w:tc>
        <w:tc>
          <w:tcPr>
            <w:tcW w:w="1375" w:type="dxa"/>
            <w:vAlign w:val="center"/>
          </w:tcPr>
          <w:p w:rsidR="004A026E" w:rsidRPr="004A026E" w:rsidRDefault="004A026E" w:rsidP="004A026E">
            <w:pPr>
              <w:jc w:val="center"/>
              <w:rPr>
                <w:rFonts w:ascii="Arial" w:hAnsi="Arial" w:cs="Arial"/>
                <w:color w:val="000000" w:themeColor="text1"/>
                <w:lang w:val="en-US" w:eastAsia="ja-JP"/>
              </w:rPr>
            </w:pPr>
            <w:r w:rsidRPr="004A026E">
              <w:rPr>
                <w:rFonts w:ascii="Arial" w:hAnsi="Arial" w:cs="Arial"/>
                <w:color w:val="000000" w:themeColor="text1"/>
                <w:lang w:val="en-US" w:eastAsia="ja-JP"/>
              </w:rPr>
              <w:t>6,491,000</w:t>
            </w:r>
          </w:p>
        </w:tc>
        <w:tc>
          <w:tcPr>
            <w:tcW w:w="1375" w:type="dxa"/>
            <w:vAlign w:val="center"/>
          </w:tcPr>
          <w:p w:rsidR="004A026E" w:rsidRPr="004A026E" w:rsidRDefault="004A026E" w:rsidP="004A026E">
            <w:pPr>
              <w:jc w:val="center"/>
              <w:rPr>
                <w:rFonts w:ascii="Arial" w:hAnsi="Arial" w:cs="Arial"/>
                <w:color w:val="000000" w:themeColor="text1"/>
                <w:lang w:val="en-US" w:eastAsia="ja-JP"/>
              </w:rPr>
            </w:pPr>
            <w:r w:rsidRPr="004A026E">
              <w:rPr>
                <w:rFonts w:ascii="Arial" w:hAnsi="Arial" w:cs="Arial"/>
                <w:color w:val="000000" w:themeColor="text1"/>
                <w:lang w:val="en-US" w:eastAsia="ja-JP"/>
              </w:rPr>
              <w:t>4,509,000</w:t>
            </w:r>
          </w:p>
        </w:tc>
        <w:tc>
          <w:tcPr>
            <w:tcW w:w="1381" w:type="dxa"/>
            <w:vAlign w:val="center"/>
          </w:tcPr>
          <w:p w:rsidR="004A026E" w:rsidRPr="004A026E" w:rsidRDefault="004A026E" w:rsidP="004A026E">
            <w:pPr>
              <w:jc w:val="center"/>
              <w:rPr>
                <w:rFonts w:ascii="Arial" w:hAnsi="Arial" w:cs="Arial"/>
                <w:color w:val="000000" w:themeColor="text1"/>
                <w:lang w:val="en-US" w:eastAsia="ja-JP"/>
              </w:rPr>
            </w:pPr>
            <w:r w:rsidRPr="004A026E">
              <w:rPr>
                <w:rFonts w:ascii="Arial" w:hAnsi="Arial" w:cs="Arial"/>
                <w:color w:val="000000" w:themeColor="text1"/>
                <w:lang w:val="en-US" w:eastAsia="ja-JP"/>
              </w:rPr>
              <w:t>4,509,000</w:t>
            </w:r>
            <w:r w:rsidRPr="004A026E">
              <w:rPr>
                <w:rStyle w:val="FootnoteReference"/>
                <w:rFonts w:ascii="Arial" w:hAnsi="Arial" w:cs="Arial"/>
                <w:color w:val="000000" w:themeColor="text1"/>
                <w:lang w:val="en-US" w:eastAsia="ja-JP"/>
              </w:rPr>
              <w:footnoteReference w:id="3"/>
            </w:r>
          </w:p>
        </w:tc>
        <w:tc>
          <w:tcPr>
            <w:tcW w:w="1341" w:type="dxa"/>
            <w:vAlign w:val="center"/>
          </w:tcPr>
          <w:p w:rsidR="004A026E" w:rsidRPr="004A026E" w:rsidRDefault="004A026E" w:rsidP="004A026E">
            <w:pPr>
              <w:jc w:val="center"/>
              <w:rPr>
                <w:rFonts w:ascii="Arial" w:hAnsi="Arial" w:cs="Arial"/>
                <w:color w:val="000000" w:themeColor="text1"/>
                <w:lang w:val="en-US" w:eastAsia="ja-JP"/>
              </w:rPr>
            </w:pPr>
            <w:r w:rsidRPr="004A026E">
              <w:rPr>
                <w:rFonts w:ascii="Arial" w:hAnsi="Arial" w:cs="Arial"/>
                <w:color w:val="000000" w:themeColor="text1"/>
                <w:lang w:val="en-US" w:eastAsia="ja-JP"/>
              </w:rPr>
              <w:t>0</w:t>
            </w:r>
          </w:p>
        </w:tc>
      </w:tr>
      <w:tr w:rsidR="004A026E" w:rsidRPr="00B948BE" w:rsidTr="004A026E">
        <w:tc>
          <w:tcPr>
            <w:tcW w:w="1746" w:type="dxa"/>
            <w:shd w:val="clear" w:color="auto" w:fill="A6A6A6" w:themeFill="background1" w:themeFillShade="A6"/>
            <w:vAlign w:val="center"/>
          </w:tcPr>
          <w:p w:rsidR="004A026E" w:rsidRPr="00B948BE" w:rsidRDefault="004A026E" w:rsidP="004A026E">
            <w:pPr>
              <w:rPr>
                <w:rFonts w:ascii="Arial" w:hAnsi="Arial" w:cs="Arial"/>
                <w:b/>
                <w:color w:val="000000" w:themeColor="text1"/>
                <w:lang w:val="en-US" w:eastAsia="ja-JP"/>
              </w:rPr>
            </w:pPr>
            <w:bookmarkStart w:id="0" w:name="_GoBack" w:colFirst="3" w:colLast="9"/>
            <w:r w:rsidRPr="00B948BE">
              <w:rPr>
                <w:rFonts w:ascii="Arial" w:hAnsi="Arial" w:cs="Arial"/>
                <w:b/>
                <w:color w:val="000000" w:themeColor="text1"/>
                <w:lang w:val="en-US" w:eastAsia="ja-JP"/>
              </w:rPr>
              <w:t>Total</w:t>
            </w:r>
          </w:p>
        </w:tc>
        <w:tc>
          <w:tcPr>
            <w:tcW w:w="1329" w:type="dxa"/>
            <w:vAlign w:val="center"/>
          </w:tcPr>
          <w:p w:rsidR="004A026E" w:rsidRPr="00B948BE" w:rsidRDefault="004A026E" w:rsidP="004A026E">
            <w:pPr>
              <w:jc w:val="center"/>
              <w:rPr>
                <w:rFonts w:ascii="Arial" w:hAnsi="Arial" w:cs="Arial"/>
                <w:color w:val="000000" w:themeColor="text1"/>
                <w:lang w:val="en-US" w:eastAsia="ja-JP"/>
              </w:rPr>
            </w:pPr>
          </w:p>
        </w:tc>
        <w:tc>
          <w:tcPr>
            <w:tcW w:w="1359" w:type="dxa"/>
            <w:vAlign w:val="center"/>
          </w:tcPr>
          <w:p w:rsidR="004A026E" w:rsidRPr="00B948BE" w:rsidRDefault="004A026E" w:rsidP="004A026E">
            <w:pPr>
              <w:jc w:val="center"/>
              <w:rPr>
                <w:rFonts w:ascii="Arial" w:hAnsi="Arial" w:cs="Arial"/>
                <w:color w:val="000000" w:themeColor="text1"/>
                <w:lang w:val="en-US" w:eastAsia="ja-JP"/>
              </w:rPr>
            </w:pPr>
          </w:p>
        </w:tc>
        <w:tc>
          <w:tcPr>
            <w:tcW w:w="1745" w:type="dxa"/>
            <w:vAlign w:val="center"/>
          </w:tcPr>
          <w:p w:rsidR="004A026E" w:rsidRPr="0004511A" w:rsidRDefault="004A026E" w:rsidP="004A026E">
            <w:pPr>
              <w:jc w:val="center"/>
              <w:rPr>
                <w:rFonts w:ascii="Arial" w:hAnsi="Arial" w:cs="Arial"/>
                <w:b/>
                <w:color w:val="000000" w:themeColor="text1"/>
                <w:lang w:val="en-US" w:eastAsia="ja-JP"/>
              </w:rPr>
            </w:pPr>
            <w:r w:rsidRPr="0004511A">
              <w:rPr>
                <w:rFonts w:ascii="Arial" w:hAnsi="Arial" w:cs="Arial"/>
                <w:b/>
                <w:color w:val="000000" w:themeColor="text1"/>
                <w:lang w:val="en-US" w:eastAsia="ja-JP"/>
              </w:rPr>
              <w:t>7,102,599</w:t>
            </w:r>
          </w:p>
        </w:tc>
        <w:tc>
          <w:tcPr>
            <w:tcW w:w="1331" w:type="dxa"/>
            <w:vAlign w:val="center"/>
          </w:tcPr>
          <w:p w:rsidR="004A026E" w:rsidRPr="0004511A" w:rsidRDefault="004A026E" w:rsidP="004A026E">
            <w:pPr>
              <w:jc w:val="center"/>
              <w:rPr>
                <w:rFonts w:ascii="Arial" w:hAnsi="Arial" w:cs="Arial"/>
                <w:b/>
                <w:color w:val="000000" w:themeColor="text1"/>
                <w:lang w:val="en-US" w:eastAsia="ja-JP"/>
              </w:rPr>
            </w:pPr>
            <w:r w:rsidRPr="0004511A">
              <w:rPr>
                <w:rFonts w:ascii="Arial" w:hAnsi="Arial" w:cs="Arial"/>
                <w:b/>
                <w:color w:val="000000" w:themeColor="text1"/>
                <w:lang w:val="en-US" w:eastAsia="ja-JP"/>
              </w:rPr>
              <w:t>0</w:t>
            </w:r>
          </w:p>
        </w:tc>
        <w:tc>
          <w:tcPr>
            <w:tcW w:w="1217" w:type="dxa"/>
            <w:vAlign w:val="center"/>
          </w:tcPr>
          <w:p w:rsidR="004A026E" w:rsidRPr="0004511A" w:rsidRDefault="004A026E" w:rsidP="004A026E">
            <w:pPr>
              <w:jc w:val="center"/>
              <w:rPr>
                <w:rFonts w:ascii="Arial" w:hAnsi="Arial" w:cs="Arial"/>
                <w:b/>
                <w:color w:val="000000" w:themeColor="text1"/>
                <w:lang w:val="en-US" w:eastAsia="ja-JP"/>
              </w:rPr>
            </w:pPr>
            <w:r w:rsidRPr="0004511A">
              <w:rPr>
                <w:rFonts w:ascii="Arial" w:hAnsi="Arial" w:cs="Arial"/>
                <w:b/>
                <w:color w:val="000000" w:themeColor="text1"/>
                <w:lang w:val="en-US" w:eastAsia="ja-JP"/>
              </w:rPr>
              <w:t>-</w:t>
            </w:r>
          </w:p>
        </w:tc>
        <w:tc>
          <w:tcPr>
            <w:tcW w:w="1316" w:type="dxa"/>
            <w:vAlign w:val="center"/>
          </w:tcPr>
          <w:p w:rsidR="004A026E" w:rsidRPr="0004511A" w:rsidRDefault="004A026E" w:rsidP="004A026E">
            <w:pPr>
              <w:jc w:val="center"/>
              <w:rPr>
                <w:rFonts w:ascii="Arial" w:hAnsi="Arial" w:cs="Arial"/>
                <w:b/>
                <w:color w:val="000000" w:themeColor="text1"/>
                <w:lang w:val="en-US" w:eastAsia="ja-JP"/>
              </w:rPr>
            </w:pPr>
            <w:r w:rsidRPr="0004511A">
              <w:rPr>
                <w:rFonts w:ascii="Arial" w:hAnsi="Arial" w:cs="Arial"/>
                <w:b/>
                <w:color w:val="000000" w:themeColor="text1"/>
                <w:lang w:val="en-US" w:eastAsia="ja-JP"/>
              </w:rPr>
              <w:t>12,506,885</w:t>
            </w:r>
          </w:p>
        </w:tc>
        <w:tc>
          <w:tcPr>
            <w:tcW w:w="1316" w:type="dxa"/>
            <w:vAlign w:val="center"/>
          </w:tcPr>
          <w:p w:rsidR="004A026E" w:rsidRPr="0004511A" w:rsidRDefault="004A026E" w:rsidP="004A026E">
            <w:pPr>
              <w:jc w:val="center"/>
              <w:rPr>
                <w:rFonts w:ascii="Arial" w:hAnsi="Arial" w:cs="Arial"/>
                <w:b/>
                <w:color w:val="000000" w:themeColor="text1"/>
                <w:lang w:val="en-US" w:eastAsia="ja-JP"/>
              </w:rPr>
            </w:pPr>
            <w:r w:rsidRPr="0004511A">
              <w:rPr>
                <w:rFonts w:ascii="Arial" w:hAnsi="Arial" w:cs="Arial"/>
                <w:b/>
                <w:color w:val="000000" w:themeColor="text1"/>
                <w:lang w:val="en-US" w:eastAsia="ja-JP"/>
              </w:rPr>
              <w:t>10,524,885</w:t>
            </w:r>
          </w:p>
        </w:tc>
        <w:tc>
          <w:tcPr>
            <w:tcW w:w="1360" w:type="dxa"/>
            <w:vAlign w:val="center"/>
          </w:tcPr>
          <w:p w:rsidR="004A026E" w:rsidRPr="0004511A" w:rsidRDefault="004A026E" w:rsidP="004A026E">
            <w:pPr>
              <w:jc w:val="center"/>
              <w:rPr>
                <w:rFonts w:ascii="Arial" w:hAnsi="Arial" w:cs="Arial"/>
                <w:b/>
                <w:color w:val="000000" w:themeColor="text1"/>
                <w:lang w:val="en-US" w:eastAsia="ja-JP"/>
              </w:rPr>
            </w:pPr>
            <w:r w:rsidRPr="0004511A">
              <w:rPr>
                <w:rFonts w:ascii="Arial" w:hAnsi="Arial" w:cs="Arial"/>
                <w:b/>
                <w:color w:val="000000" w:themeColor="text1"/>
                <w:lang w:val="en-US" w:eastAsia="ja-JP"/>
              </w:rPr>
              <w:t>10,524,885</w:t>
            </w:r>
          </w:p>
        </w:tc>
        <w:tc>
          <w:tcPr>
            <w:tcW w:w="1234" w:type="dxa"/>
            <w:vAlign w:val="center"/>
          </w:tcPr>
          <w:p w:rsidR="004A026E" w:rsidRPr="0004511A" w:rsidRDefault="004A026E" w:rsidP="004A026E">
            <w:pPr>
              <w:jc w:val="center"/>
              <w:rPr>
                <w:rFonts w:ascii="Arial" w:hAnsi="Arial" w:cs="Arial"/>
                <w:b/>
                <w:color w:val="000000" w:themeColor="text1"/>
                <w:lang w:val="en-US" w:eastAsia="ja-JP"/>
              </w:rPr>
            </w:pPr>
            <w:r w:rsidRPr="0004511A">
              <w:rPr>
                <w:rFonts w:ascii="Arial" w:hAnsi="Arial" w:cs="Arial"/>
                <w:b/>
                <w:color w:val="000000" w:themeColor="text1"/>
                <w:lang w:val="en-US" w:eastAsia="ja-JP"/>
              </w:rPr>
              <w:t>0</w:t>
            </w:r>
          </w:p>
        </w:tc>
      </w:tr>
      <w:bookmarkEnd w:id="0"/>
      <w:tr w:rsidR="004A026E" w:rsidRPr="00B948BE" w:rsidTr="004A026E">
        <w:tc>
          <w:tcPr>
            <w:tcW w:w="1746" w:type="dxa"/>
            <w:shd w:val="clear" w:color="auto" w:fill="A6A6A6" w:themeFill="background1" w:themeFillShade="A6"/>
          </w:tcPr>
          <w:p w:rsidR="004A026E" w:rsidRPr="00B948BE" w:rsidRDefault="004A026E" w:rsidP="004A026E">
            <w:pPr>
              <w:rPr>
                <w:rFonts w:ascii="Arial" w:hAnsi="Arial" w:cs="Arial"/>
                <w:b/>
                <w:color w:val="000000" w:themeColor="text1"/>
                <w:lang w:val="en-US" w:eastAsia="ja-JP"/>
              </w:rPr>
            </w:pPr>
            <w:r w:rsidRPr="00B948BE">
              <w:rPr>
                <w:rFonts w:ascii="Arial" w:hAnsi="Arial" w:cs="Arial"/>
                <w:b/>
                <w:color w:val="000000" w:themeColor="text1"/>
                <w:lang w:val="en-US" w:eastAsia="ja-JP"/>
              </w:rPr>
              <w:t>Water not diverted through use of Adelaide Desalination Plant</w:t>
            </w:r>
          </w:p>
        </w:tc>
        <w:tc>
          <w:tcPr>
            <w:tcW w:w="1329" w:type="dxa"/>
            <w:vAlign w:val="center"/>
          </w:tcPr>
          <w:p w:rsidR="004A026E" w:rsidRPr="00B948BE" w:rsidRDefault="004A026E" w:rsidP="004A026E">
            <w:pPr>
              <w:jc w:val="center"/>
              <w:rPr>
                <w:rFonts w:ascii="Arial" w:hAnsi="Arial" w:cs="Arial"/>
                <w:color w:val="000000" w:themeColor="text1"/>
                <w:lang w:val="en-US" w:eastAsia="ja-JP"/>
              </w:rPr>
            </w:pPr>
          </w:p>
        </w:tc>
        <w:tc>
          <w:tcPr>
            <w:tcW w:w="1359" w:type="dxa"/>
            <w:vAlign w:val="center"/>
          </w:tcPr>
          <w:p w:rsidR="004A026E" w:rsidRPr="00B948BE" w:rsidRDefault="004A026E" w:rsidP="004A026E">
            <w:pPr>
              <w:jc w:val="center"/>
              <w:rPr>
                <w:rFonts w:ascii="Arial" w:hAnsi="Arial" w:cs="Arial"/>
                <w:color w:val="000000" w:themeColor="text1"/>
                <w:lang w:val="en-US" w:eastAsia="ja-JP"/>
              </w:rPr>
            </w:pPr>
          </w:p>
        </w:tc>
        <w:tc>
          <w:tcPr>
            <w:tcW w:w="1745" w:type="dxa"/>
            <w:vAlign w:val="center"/>
          </w:tcPr>
          <w:p w:rsidR="004A026E" w:rsidRPr="00B948BE" w:rsidRDefault="004A026E" w:rsidP="004A026E">
            <w:pPr>
              <w:jc w:val="center"/>
              <w:rPr>
                <w:rFonts w:ascii="Arial" w:hAnsi="Arial" w:cs="Arial"/>
                <w:color w:val="000000" w:themeColor="text1"/>
                <w:lang w:val="en-US" w:eastAsia="ja-JP"/>
              </w:rPr>
            </w:pPr>
            <w:r w:rsidRPr="00B948BE">
              <w:rPr>
                <w:rFonts w:ascii="Arial" w:hAnsi="Arial" w:cs="Arial"/>
                <w:color w:val="000000" w:themeColor="text1"/>
                <w:lang w:val="en-US" w:eastAsia="ja-JP"/>
              </w:rPr>
              <w:t>-</w:t>
            </w:r>
          </w:p>
        </w:tc>
        <w:tc>
          <w:tcPr>
            <w:tcW w:w="1331" w:type="dxa"/>
            <w:vAlign w:val="center"/>
          </w:tcPr>
          <w:p w:rsidR="004A026E" w:rsidRPr="00B948BE" w:rsidRDefault="004A026E" w:rsidP="004A026E">
            <w:pPr>
              <w:jc w:val="center"/>
              <w:rPr>
                <w:rFonts w:ascii="Arial" w:hAnsi="Arial" w:cs="Arial"/>
                <w:color w:val="000000" w:themeColor="text1"/>
                <w:lang w:val="en-US" w:eastAsia="ja-JP"/>
              </w:rPr>
            </w:pPr>
            <w:r w:rsidRPr="00B948BE">
              <w:rPr>
                <w:rFonts w:ascii="Arial" w:hAnsi="Arial" w:cs="Arial"/>
                <w:color w:val="000000" w:themeColor="text1"/>
                <w:lang w:val="en-US" w:eastAsia="ja-JP"/>
              </w:rPr>
              <w:t>0</w:t>
            </w:r>
          </w:p>
        </w:tc>
        <w:tc>
          <w:tcPr>
            <w:tcW w:w="1217" w:type="dxa"/>
            <w:vAlign w:val="center"/>
          </w:tcPr>
          <w:p w:rsidR="004A026E" w:rsidRPr="00B948BE" w:rsidRDefault="004A026E" w:rsidP="004A026E">
            <w:pPr>
              <w:jc w:val="center"/>
              <w:rPr>
                <w:rFonts w:ascii="Arial" w:hAnsi="Arial" w:cs="Arial"/>
                <w:color w:val="000000" w:themeColor="text1"/>
                <w:lang w:val="en-US" w:eastAsia="ja-JP"/>
              </w:rPr>
            </w:pPr>
            <w:r w:rsidRPr="00B948BE">
              <w:rPr>
                <w:rFonts w:ascii="Arial" w:hAnsi="Arial" w:cs="Arial"/>
                <w:color w:val="000000" w:themeColor="text1"/>
                <w:lang w:val="en-US" w:eastAsia="ja-JP"/>
              </w:rPr>
              <w:t>-</w:t>
            </w:r>
          </w:p>
        </w:tc>
        <w:tc>
          <w:tcPr>
            <w:tcW w:w="1316" w:type="dxa"/>
            <w:vAlign w:val="center"/>
          </w:tcPr>
          <w:p w:rsidR="004A026E" w:rsidRPr="00B948BE" w:rsidRDefault="004A026E" w:rsidP="004A026E">
            <w:pPr>
              <w:jc w:val="center"/>
              <w:rPr>
                <w:rFonts w:ascii="Arial" w:hAnsi="Arial" w:cs="Arial"/>
                <w:color w:val="000000" w:themeColor="text1"/>
                <w:lang w:val="en-US" w:eastAsia="ja-JP"/>
              </w:rPr>
            </w:pPr>
            <w:r w:rsidRPr="00B948BE">
              <w:rPr>
                <w:rFonts w:ascii="Arial" w:hAnsi="Arial" w:cs="Arial"/>
                <w:color w:val="000000" w:themeColor="text1"/>
                <w:lang w:val="en-US" w:eastAsia="ja-JP"/>
              </w:rPr>
              <w:t>-</w:t>
            </w:r>
          </w:p>
        </w:tc>
        <w:tc>
          <w:tcPr>
            <w:tcW w:w="1316" w:type="dxa"/>
            <w:vAlign w:val="center"/>
          </w:tcPr>
          <w:p w:rsidR="004A026E" w:rsidRPr="00B948BE" w:rsidRDefault="004A026E" w:rsidP="004A026E">
            <w:pPr>
              <w:jc w:val="center"/>
              <w:rPr>
                <w:rFonts w:ascii="Arial" w:hAnsi="Arial" w:cs="Arial"/>
                <w:color w:val="000000" w:themeColor="text1"/>
                <w:lang w:val="en-US" w:eastAsia="ja-JP"/>
              </w:rPr>
            </w:pPr>
            <w:r w:rsidRPr="00B948BE">
              <w:rPr>
                <w:rFonts w:ascii="Arial" w:hAnsi="Arial" w:cs="Arial"/>
                <w:color w:val="000000" w:themeColor="text1"/>
                <w:lang w:val="en-US" w:eastAsia="ja-JP"/>
              </w:rPr>
              <w:t>-</w:t>
            </w:r>
          </w:p>
        </w:tc>
        <w:tc>
          <w:tcPr>
            <w:tcW w:w="1360" w:type="dxa"/>
            <w:vAlign w:val="center"/>
          </w:tcPr>
          <w:p w:rsidR="004A026E" w:rsidRPr="00B948BE" w:rsidRDefault="004A026E" w:rsidP="004A026E">
            <w:pPr>
              <w:jc w:val="center"/>
              <w:rPr>
                <w:rFonts w:ascii="Arial" w:hAnsi="Arial" w:cs="Arial"/>
                <w:color w:val="000000" w:themeColor="text1"/>
                <w:lang w:val="en-US" w:eastAsia="ja-JP"/>
              </w:rPr>
            </w:pPr>
            <w:r>
              <w:rPr>
                <w:rFonts w:ascii="Arial" w:hAnsi="Arial" w:cs="Arial"/>
                <w:color w:val="000000" w:themeColor="text1"/>
                <w:lang w:val="en-US" w:eastAsia="ja-JP"/>
              </w:rPr>
              <w:t>7,700,000</w:t>
            </w:r>
          </w:p>
        </w:tc>
        <w:tc>
          <w:tcPr>
            <w:tcW w:w="1234" w:type="dxa"/>
            <w:vAlign w:val="center"/>
          </w:tcPr>
          <w:p w:rsidR="004A026E" w:rsidRPr="00B948BE" w:rsidRDefault="004A026E" w:rsidP="004A026E">
            <w:pPr>
              <w:jc w:val="center"/>
              <w:rPr>
                <w:rFonts w:ascii="Arial" w:hAnsi="Arial" w:cs="Arial"/>
                <w:color w:val="000000" w:themeColor="text1"/>
                <w:lang w:val="en-US" w:eastAsia="ja-JP"/>
              </w:rPr>
            </w:pPr>
            <w:r w:rsidRPr="00B948BE">
              <w:rPr>
                <w:rFonts w:ascii="Arial" w:hAnsi="Arial" w:cs="Arial"/>
                <w:color w:val="000000" w:themeColor="text1"/>
                <w:lang w:val="en-US" w:eastAsia="ja-JP"/>
              </w:rPr>
              <w:t>-</w:t>
            </w:r>
          </w:p>
        </w:tc>
      </w:tr>
    </w:tbl>
    <w:p w:rsidR="004A026E" w:rsidRDefault="004A026E" w:rsidP="00B948BE">
      <w:pPr>
        <w:rPr>
          <w:rFonts w:ascii="Arial" w:hAnsi="Arial" w:cs="Arial"/>
          <w:color w:val="000000" w:themeColor="text1"/>
          <w:lang w:val="en-US" w:eastAsia="ja-JP"/>
        </w:rPr>
      </w:pPr>
    </w:p>
    <w:p w:rsidR="004A026E" w:rsidRPr="004A026E" w:rsidRDefault="004A026E" w:rsidP="004A026E">
      <w:pPr>
        <w:pStyle w:val="Heading3"/>
        <w:numPr>
          <w:ilvl w:val="0"/>
          <w:numId w:val="0"/>
        </w:numPr>
        <w:ind w:left="567" w:hanging="567"/>
        <w:jc w:val="center"/>
        <w:rPr>
          <w:rFonts w:ascii="Arial" w:hAnsi="Arial" w:cs="Arial"/>
          <w:sz w:val="28"/>
          <w:szCs w:val="28"/>
          <w:lang w:val="en-US" w:eastAsia="ja-JP"/>
        </w:rPr>
      </w:pPr>
      <w:r w:rsidRPr="004A026E">
        <w:rPr>
          <w:rFonts w:ascii="Arial" w:hAnsi="Arial" w:cs="Arial"/>
          <w:sz w:val="28"/>
          <w:szCs w:val="28"/>
          <w:lang w:val="en-US" w:eastAsia="ja-JP"/>
        </w:rPr>
        <w:t>2015-16 Watering Locations Use and Outcomes</w:t>
      </w:r>
    </w:p>
    <w:p w:rsidR="004A026E" w:rsidRPr="004A026E" w:rsidRDefault="004A026E" w:rsidP="004A026E">
      <w:pPr>
        <w:rPr>
          <w:rFonts w:ascii="Arial" w:hAnsi="Arial" w:cs="Arial"/>
          <w:lang w:val="en-US" w:eastAsia="ja-JP"/>
        </w:rPr>
      </w:pPr>
      <w:r w:rsidRPr="004A026E">
        <w:rPr>
          <w:rFonts w:ascii="Arial" w:hAnsi="Arial" w:cs="Arial"/>
          <w:lang w:val="en-US" w:eastAsia="ja-JP"/>
        </w:rPr>
        <w:t>Water allocations on account SA213146-0-10009 were used at the following sites for the following outcomes.</w:t>
      </w:r>
    </w:p>
    <w:p w:rsidR="004A026E" w:rsidRPr="004A026E" w:rsidRDefault="004A026E" w:rsidP="004A026E">
      <w:pPr>
        <w:pStyle w:val="ListBullet"/>
        <w:rPr>
          <w:rFonts w:ascii="Arial" w:hAnsi="Arial" w:cs="Arial"/>
          <w:lang w:val="en-US" w:eastAsia="ja-JP"/>
        </w:rPr>
      </w:pPr>
      <w:r w:rsidRPr="004A026E">
        <w:rPr>
          <w:rFonts w:ascii="Arial" w:hAnsi="Arial" w:cs="Arial"/>
          <w:lang w:val="en-US" w:eastAsia="ja-JP"/>
        </w:rPr>
        <w:t>Berri Evaporation Basin — Maintain cri</w:t>
      </w:r>
      <w:r w:rsidR="003F63E2">
        <w:rPr>
          <w:rFonts w:ascii="Arial" w:hAnsi="Arial" w:cs="Arial"/>
          <w:lang w:val="en-US" w:eastAsia="ja-JP"/>
        </w:rPr>
        <w:t xml:space="preserve">tical habitat for the Murray </w:t>
      </w:r>
      <w:proofErr w:type="spellStart"/>
      <w:r w:rsidR="003F63E2">
        <w:rPr>
          <w:rFonts w:ascii="Arial" w:hAnsi="Arial" w:cs="Arial"/>
          <w:lang w:val="en-US" w:eastAsia="ja-JP"/>
        </w:rPr>
        <w:t>ha</w:t>
      </w:r>
      <w:r w:rsidRPr="004A026E">
        <w:rPr>
          <w:rFonts w:ascii="Arial" w:hAnsi="Arial" w:cs="Arial"/>
          <w:lang w:val="en-US" w:eastAsia="ja-JP"/>
        </w:rPr>
        <w:t>rdyhead</w:t>
      </w:r>
      <w:proofErr w:type="spellEnd"/>
      <w:r w:rsidRPr="004A026E">
        <w:rPr>
          <w:rFonts w:ascii="Arial" w:hAnsi="Arial" w:cs="Arial"/>
          <w:lang w:val="en-US" w:eastAsia="ja-JP"/>
        </w:rPr>
        <w:t>.</w:t>
      </w:r>
    </w:p>
    <w:p w:rsidR="004A026E" w:rsidRPr="004A026E" w:rsidRDefault="004A026E" w:rsidP="004A026E">
      <w:pPr>
        <w:pStyle w:val="ListBullet"/>
        <w:rPr>
          <w:rFonts w:ascii="Arial" w:hAnsi="Arial" w:cs="Arial"/>
          <w:lang w:val="en-US" w:eastAsia="ja-JP"/>
        </w:rPr>
      </w:pPr>
      <w:r w:rsidRPr="004A026E">
        <w:rPr>
          <w:rFonts w:ascii="Arial" w:hAnsi="Arial" w:cs="Arial"/>
          <w:lang w:val="en-US" w:eastAsia="ja-JP"/>
        </w:rPr>
        <w:t>Bookmark Creek— Maintain significant flowing water habitat.</w:t>
      </w:r>
    </w:p>
    <w:p w:rsidR="004A026E" w:rsidRPr="004A026E" w:rsidRDefault="004A026E" w:rsidP="004A026E">
      <w:pPr>
        <w:pStyle w:val="ListBullet"/>
        <w:rPr>
          <w:rFonts w:ascii="Arial" w:hAnsi="Arial" w:cs="Arial"/>
          <w:lang w:val="en-US" w:eastAsia="ja-JP"/>
        </w:rPr>
      </w:pPr>
      <w:r w:rsidRPr="004A026E">
        <w:rPr>
          <w:rFonts w:ascii="Arial" w:hAnsi="Arial" w:cs="Arial"/>
          <w:lang w:val="en-US" w:eastAsia="ja-JP"/>
        </w:rPr>
        <w:t>Gerard Floodplain — Maintain Black Box and understory vegetation on the floodplain.</w:t>
      </w:r>
    </w:p>
    <w:p w:rsidR="004A026E" w:rsidRPr="004A026E" w:rsidRDefault="004A026E" w:rsidP="004A026E">
      <w:pPr>
        <w:pStyle w:val="ListBullet"/>
        <w:rPr>
          <w:rFonts w:ascii="Arial" w:hAnsi="Arial" w:cs="Arial"/>
          <w:lang w:val="en-US" w:eastAsia="ja-JP"/>
        </w:rPr>
      </w:pPr>
      <w:r w:rsidRPr="004A026E">
        <w:rPr>
          <w:rFonts w:ascii="Arial" w:hAnsi="Arial" w:cs="Arial"/>
          <w:lang w:val="en-US" w:eastAsia="ja-JP"/>
        </w:rPr>
        <w:t xml:space="preserve">Gerard Lignum Swamp — Maintain Lignum basin fringed by mature river red gum and </w:t>
      </w:r>
      <w:proofErr w:type="spellStart"/>
      <w:r w:rsidRPr="004A026E">
        <w:rPr>
          <w:rFonts w:ascii="Arial" w:hAnsi="Arial" w:cs="Arial"/>
          <w:lang w:val="en-US" w:eastAsia="ja-JP"/>
        </w:rPr>
        <w:t>cooba</w:t>
      </w:r>
      <w:proofErr w:type="spellEnd"/>
      <w:r w:rsidRPr="004A026E">
        <w:rPr>
          <w:rFonts w:ascii="Arial" w:hAnsi="Arial" w:cs="Arial"/>
          <w:lang w:val="en-US" w:eastAsia="ja-JP"/>
        </w:rPr>
        <w:t>.</w:t>
      </w:r>
    </w:p>
    <w:p w:rsidR="004A026E" w:rsidRPr="004A026E" w:rsidRDefault="004A026E" w:rsidP="004A026E">
      <w:pPr>
        <w:pStyle w:val="ListBullet"/>
        <w:rPr>
          <w:rFonts w:ascii="Arial" w:hAnsi="Arial" w:cs="Arial"/>
          <w:lang w:val="en-US" w:eastAsia="ja-JP"/>
        </w:rPr>
      </w:pPr>
      <w:proofErr w:type="spellStart"/>
      <w:r w:rsidRPr="004A026E">
        <w:rPr>
          <w:rFonts w:ascii="Arial" w:hAnsi="Arial" w:cs="Arial"/>
          <w:lang w:val="en-US" w:eastAsia="ja-JP"/>
        </w:rPr>
        <w:t>Markaranka</w:t>
      </w:r>
      <w:proofErr w:type="spellEnd"/>
      <w:r w:rsidRPr="004A026E">
        <w:rPr>
          <w:rFonts w:ascii="Arial" w:hAnsi="Arial" w:cs="Arial"/>
          <w:lang w:val="en-US" w:eastAsia="ja-JP"/>
        </w:rPr>
        <w:t xml:space="preserve"> Wetland Complex — Maintain relatively intact flood plain dominated by black box trees.</w:t>
      </w:r>
    </w:p>
    <w:p w:rsidR="004A026E" w:rsidRPr="004A026E" w:rsidRDefault="004A026E" w:rsidP="004A026E">
      <w:pPr>
        <w:pStyle w:val="ListBullet"/>
        <w:rPr>
          <w:rFonts w:ascii="Arial" w:hAnsi="Arial" w:cs="Arial"/>
          <w:lang w:val="en-US" w:eastAsia="ja-JP"/>
        </w:rPr>
      </w:pPr>
      <w:r w:rsidRPr="004A026E">
        <w:rPr>
          <w:rFonts w:ascii="Arial" w:hAnsi="Arial" w:cs="Arial"/>
          <w:lang w:val="en-US" w:eastAsia="ja-JP"/>
        </w:rPr>
        <w:t xml:space="preserve">Old Loxton Road Wetland — Maintain black box and river </w:t>
      </w:r>
      <w:proofErr w:type="spellStart"/>
      <w:r w:rsidRPr="004A026E">
        <w:rPr>
          <w:rFonts w:ascii="Arial" w:hAnsi="Arial" w:cs="Arial"/>
          <w:lang w:val="en-US" w:eastAsia="ja-JP"/>
        </w:rPr>
        <w:t>cooba</w:t>
      </w:r>
      <w:proofErr w:type="spellEnd"/>
      <w:r w:rsidRPr="004A026E">
        <w:rPr>
          <w:rFonts w:ascii="Arial" w:hAnsi="Arial" w:cs="Arial"/>
          <w:lang w:val="en-US" w:eastAsia="ja-JP"/>
        </w:rPr>
        <w:t xml:space="preserve"> fringing the wetland basin.</w:t>
      </w:r>
    </w:p>
    <w:p w:rsidR="004A026E" w:rsidRPr="004A026E" w:rsidRDefault="004A026E" w:rsidP="004A026E">
      <w:pPr>
        <w:pStyle w:val="ListBullet"/>
        <w:rPr>
          <w:rFonts w:ascii="Arial" w:hAnsi="Arial" w:cs="Arial"/>
          <w:lang w:val="en-US" w:eastAsia="ja-JP"/>
        </w:rPr>
      </w:pPr>
      <w:r w:rsidRPr="004A026E">
        <w:rPr>
          <w:rFonts w:ascii="Arial" w:hAnsi="Arial" w:cs="Arial"/>
          <w:lang w:val="en-US" w:eastAsia="ja-JP"/>
        </w:rPr>
        <w:t>Pike Floodplain — Maintain black box floodplain vegetation.</w:t>
      </w:r>
    </w:p>
    <w:p w:rsidR="004A026E" w:rsidRPr="004A026E" w:rsidRDefault="004A026E" w:rsidP="004A026E">
      <w:pPr>
        <w:pStyle w:val="ListBullet"/>
        <w:rPr>
          <w:rFonts w:ascii="Arial" w:hAnsi="Arial" w:cs="Arial"/>
          <w:lang w:val="en-US" w:eastAsia="ja-JP"/>
        </w:rPr>
      </w:pPr>
      <w:r w:rsidRPr="004A026E">
        <w:rPr>
          <w:rFonts w:ascii="Arial" w:hAnsi="Arial" w:cs="Arial"/>
          <w:lang w:val="en-US" w:eastAsia="ja-JP"/>
        </w:rPr>
        <w:t xml:space="preserve">Pike and </w:t>
      </w:r>
      <w:proofErr w:type="spellStart"/>
      <w:r w:rsidRPr="004A026E">
        <w:rPr>
          <w:rFonts w:ascii="Arial" w:hAnsi="Arial" w:cs="Arial"/>
          <w:lang w:val="en-US" w:eastAsia="ja-JP"/>
        </w:rPr>
        <w:t>Katarapko</w:t>
      </w:r>
      <w:proofErr w:type="spellEnd"/>
      <w:r w:rsidRPr="004A026E">
        <w:rPr>
          <w:rFonts w:ascii="Arial" w:hAnsi="Arial" w:cs="Arial"/>
          <w:lang w:val="en-US" w:eastAsia="ja-JP"/>
        </w:rPr>
        <w:t xml:space="preserve"> Floodplains —Support environmental outcomes through floodplain and salinity management.</w:t>
      </w:r>
    </w:p>
    <w:p w:rsidR="004A026E" w:rsidRPr="004A026E" w:rsidRDefault="004A026E" w:rsidP="004A026E">
      <w:pPr>
        <w:pStyle w:val="ListBullet"/>
        <w:rPr>
          <w:rFonts w:ascii="Arial" w:hAnsi="Arial" w:cs="Arial"/>
          <w:lang w:val="en-US" w:eastAsia="ja-JP"/>
        </w:rPr>
      </w:pPr>
      <w:proofErr w:type="spellStart"/>
      <w:r w:rsidRPr="004A026E">
        <w:rPr>
          <w:rFonts w:ascii="Arial" w:hAnsi="Arial" w:cs="Arial"/>
          <w:lang w:val="en-US" w:eastAsia="ja-JP"/>
        </w:rPr>
        <w:t>Tolderol</w:t>
      </w:r>
      <w:proofErr w:type="spellEnd"/>
      <w:r w:rsidRPr="004A026E">
        <w:rPr>
          <w:rFonts w:ascii="Arial" w:hAnsi="Arial" w:cs="Arial"/>
          <w:lang w:val="en-US" w:eastAsia="ja-JP"/>
        </w:rPr>
        <w:t xml:space="preserve"> Game Reserve — Provision of </w:t>
      </w:r>
      <w:proofErr w:type="spellStart"/>
      <w:r w:rsidRPr="004A026E">
        <w:rPr>
          <w:rFonts w:ascii="Arial" w:hAnsi="Arial" w:cs="Arial"/>
          <w:lang w:val="en-US" w:eastAsia="ja-JP"/>
        </w:rPr>
        <w:t>waterbird</w:t>
      </w:r>
      <w:proofErr w:type="spellEnd"/>
      <w:r w:rsidRPr="004A026E">
        <w:rPr>
          <w:rFonts w:ascii="Arial" w:hAnsi="Arial" w:cs="Arial"/>
          <w:lang w:val="en-US" w:eastAsia="ja-JP"/>
        </w:rPr>
        <w:t xml:space="preserve"> habitat.</w:t>
      </w:r>
    </w:p>
    <w:p w:rsidR="004A026E" w:rsidRDefault="004A026E" w:rsidP="004A026E">
      <w:pPr>
        <w:rPr>
          <w:rFonts w:ascii="Arial" w:hAnsi="Arial" w:cs="Arial"/>
          <w:lang w:val="en-US" w:eastAsia="ja-JP"/>
        </w:rPr>
      </w:pPr>
    </w:p>
    <w:p w:rsidR="004A026E" w:rsidRPr="004A026E" w:rsidRDefault="004A026E" w:rsidP="004A026E">
      <w:pPr>
        <w:rPr>
          <w:rFonts w:ascii="Arial" w:hAnsi="Arial" w:cs="Arial"/>
          <w:lang w:val="en-US" w:eastAsia="ja-JP"/>
        </w:rPr>
      </w:pPr>
      <w:r w:rsidRPr="004A026E">
        <w:rPr>
          <w:rFonts w:ascii="Arial" w:hAnsi="Arial" w:cs="Arial"/>
          <w:lang w:val="en-US" w:eastAsia="ja-JP"/>
        </w:rPr>
        <w:t>Water allocations used from account SA118100-1-10009 for the environment and water not diverted through use of the Adelaide Desalination Plant contributed to lake level management and barrage releases throughout the year at the Coorong, Lower Lakes and Murray Mouth with outcomes including:</w:t>
      </w:r>
    </w:p>
    <w:p w:rsidR="004A026E" w:rsidRPr="004A026E" w:rsidRDefault="004A026E" w:rsidP="004A026E">
      <w:pPr>
        <w:pStyle w:val="ListBullet"/>
        <w:rPr>
          <w:rFonts w:ascii="Arial" w:hAnsi="Arial" w:cs="Arial"/>
          <w:lang w:val="en-US" w:eastAsia="ja-JP"/>
        </w:rPr>
      </w:pPr>
      <w:r w:rsidRPr="004A026E">
        <w:rPr>
          <w:rFonts w:ascii="Arial" w:hAnsi="Arial" w:cs="Arial"/>
          <w:lang w:val="en-US" w:eastAsia="ja-JP"/>
        </w:rPr>
        <w:t xml:space="preserve">Continuous </w:t>
      </w:r>
      <w:proofErr w:type="spellStart"/>
      <w:r w:rsidRPr="004A026E">
        <w:rPr>
          <w:rFonts w:ascii="Arial" w:hAnsi="Arial" w:cs="Arial"/>
          <w:lang w:val="en-US" w:eastAsia="ja-JP"/>
        </w:rPr>
        <w:t>fishway</w:t>
      </w:r>
      <w:proofErr w:type="spellEnd"/>
      <w:r w:rsidRPr="004A026E">
        <w:rPr>
          <w:rFonts w:ascii="Arial" w:hAnsi="Arial" w:cs="Arial"/>
          <w:lang w:val="en-US" w:eastAsia="ja-JP"/>
        </w:rPr>
        <w:t xml:space="preserve"> and barrage outflows throughout the year providing continuous connectivity between the River and its estuary.</w:t>
      </w:r>
    </w:p>
    <w:p w:rsidR="004A026E" w:rsidRPr="004A026E" w:rsidRDefault="004A026E" w:rsidP="004A026E">
      <w:pPr>
        <w:pStyle w:val="ListBullet"/>
        <w:rPr>
          <w:rFonts w:ascii="Arial" w:hAnsi="Arial" w:cs="Arial"/>
          <w:lang w:val="en-US" w:eastAsia="ja-JP"/>
        </w:rPr>
      </w:pPr>
      <w:r w:rsidRPr="004A026E">
        <w:rPr>
          <w:rFonts w:ascii="Arial" w:hAnsi="Arial" w:cs="Arial"/>
          <w:lang w:val="en-US" w:eastAsia="ja-JP"/>
        </w:rPr>
        <w:t>Significant diadromous fish migration, including winter migration by pouched lampreys, and evidence of recruitment.</w:t>
      </w:r>
    </w:p>
    <w:p w:rsidR="004A026E" w:rsidRPr="004A026E" w:rsidRDefault="004A026E" w:rsidP="004A026E">
      <w:pPr>
        <w:pStyle w:val="ListBullet"/>
        <w:rPr>
          <w:rFonts w:ascii="Arial" w:hAnsi="Arial" w:cs="Arial"/>
          <w:lang w:val="en-US" w:eastAsia="ja-JP"/>
        </w:rPr>
      </w:pPr>
      <w:r w:rsidRPr="004A026E">
        <w:rPr>
          <w:rFonts w:ascii="Arial" w:hAnsi="Arial" w:cs="Arial"/>
          <w:lang w:val="en-US" w:eastAsia="ja-JP"/>
        </w:rPr>
        <w:t xml:space="preserve">Large numbers of colonial </w:t>
      </w:r>
      <w:proofErr w:type="spellStart"/>
      <w:r w:rsidRPr="004A026E">
        <w:rPr>
          <w:rFonts w:ascii="Arial" w:hAnsi="Arial" w:cs="Arial"/>
          <w:lang w:val="en-US" w:eastAsia="ja-JP"/>
        </w:rPr>
        <w:t>waterbirds</w:t>
      </w:r>
      <w:proofErr w:type="spellEnd"/>
      <w:r w:rsidRPr="004A026E">
        <w:rPr>
          <w:rFonts w:ascii="Arial" w:hAnsi="Arial" w:cs="Arial"/>
          <w:lang w:val="en-US" w:eastAsia="ja-JP"/>
        </w:rPr>
        <w:t xml:space="preserve"> nesting at two </w:t>
      </w:r>
      <w:proofErr w:type="gramStart"/>
      <w:r w:rsidRPr="004A026E">
        <w:rPr>
          <w:rFonts w:ascii="Arial" w:hAnsi="Arial" w:cs="Arial"/>
          <w:lang w:val="en-US" w:eastAsia="ja-JP"/>
        </w:rPr>
        <w:t>Lower Lakes</w:t>
      </w:r>
      <w:proofErr w:type="gramEnd"/>
      <w:r w:rsidRPr="004A026E">
        <w:rPr>
          <w:rFonts w:ascii="Arial" w:hAnsi="Arial" w:cs="Arial"/>
          <w:lang w:val="en-US" w:eastAsia="ja-JP"/>
        </w:rPr>
        <w:t xml:space="preserve"> colonies.</w:t>
      </w:r>
    </w:p>
    <w:sectPr w:rsidR="004A026E" w:rsidRPr="004A026E" w:rsidSect="00B948B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BE" w:rsidRDefault="00B948BE">
      <w:r>
        <w:separator/>
      </w:r>
    </w:p>
  </w:endnote>
  <w:endnote w:type="continuationSeparator" w:id="0">
    <w:p w:rsidR="00B948BE" w:rsidRDefault="00B9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BA" w:rsidRDefault="00ED6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51" w:rsidRPr="00ED6ABA" w:rsidRDefault="00ED6ABA" w:rsidP="00ED6ABA">
    <w:pPr>
      <w:pStyle w:val="Footer"/>
    </w:pPr>
    <w:r>
      <w:t>The Australian Government acting through the Department of Agriculture has created this document from a PDF version to meet accessibility requirements. Whilst we have exercised due care and skill in preparing and compiling this word version, errors or inconsistencies to the PDF may appear. The PDF version of this document must be used as the authoritative version.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BA" w:rsidRDefault="00ED6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BE" w:rsidRDefault="00B948BE">
      <w:r>
        <w:separator/>
      </w:r>
    </w:p>
  </w:footnote>
  <w:footnote w:type="continuationSeparator" w:id="0">
    <w:p w:rsidR="00B948BE" w:rsidRDefault="00B948BE">
      <w:r>
        <w:continuationSeparator/>
      </w:r>
    </w:p>
  </w:footnote>
  <w:footnote w:id="1">
    <w:p w:rsidR="00B948BE" w:rsidRDefault="00B948BE">
      <w:pPr>
        <w:pStyle w:val="FootnoteText"/>
      </w:pPr>
      <w:r>
        <w:rPr>
          <w:rStyle w:val="FootnoteReference"/>
        </w:rPr>
        <w:footnoteRef/>
      </w:r>
      <w:r>
        <w:t xml:space="preserve"> </w:t>
      </w:r>
      <w:r w:rsidRPr="00B948BE">
        <w:t xml:space="preserve">High Reliability Water Entitlement and Environmental Provision have the same meaning as defined in the Implementation Plan for Augmentation of </w:t>
      </w:r>
      <w:r>
        <w:t>the Adelaide Desalination Plant.</w:t>
      </w:r>
    </w:p>
  </w:footnote>
  <w:footnote w:id="2">
    <w:p w:rsidR="004A026E" w:rsidRDefault="004A026E">
      <w:pPr>
        <w:pStyle w:val="FootnoteText"/>
      </w:pPr>
      <w:r>
        <w:rPr>
          <w:rStyle w:val="FootnoteReference"/>
        </w:rPr>
        <w:footnoteRef/>
      </w:r>
      <w:r>
        <w:t xml:space="preserve"> </w:t>
      </w:r>
      <w:r w:rsidRPr="004A026E">
        <w:t>Water allocations from NSW irrigation districts in the Southern Connected Basin.</w:t>
      </w:r>
    </w:p>
  </w:footnote>
  <w:footnote w:id="3">
    <w:p w:rsidR="004A026E" w:rsidRDefault="004A026E">
      <w:pPr>
        <w:pStyle w:val="FootnoteText"/>
      </w:pPr>
      <w:r>
        <w:rPr>
          <w:rStyle w:val="FootnoteReference"/>
        </w:rPr>
        <w:footnoteRef/>
      </w:r>
      <w:r>
        <w:t xml:space="preserve"> </w:t>
      </w:r>
      <w:r w:rsidRPr="004A026E">
        <w:t>1,982,000ML traded out for consumptive 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BA" w:rsidRDefault="00ED6A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BA" w:rsidRDefault="00ED6A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BA" w:rsidRDefault="00ED6A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B92746"/>
    <w:multiLevelType w:val="multilevel"/>
    <w:tmpl w:val="BAC23EE0"/>
    <w:lvl w:ilvl="0">
      <w:numFmt w:val="bullet"/>
      <w:lvlText w:val="·"/>
      <w:lvlJc w:val="left"/>
      <w:pPr>
        <w:tabs>
          <w:tab w:val="left" w:pos="288"/>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1"/>
  </w:num>
  <w:num w:numId="3">
    <w:abstractNumId w:val="5"/>
  </w:num>
  <w:num w:numId="4">
    <w:abstractNumId w:val="6"/>
  </w:num>
  <w:num w:numId="5">
    <w:abstractNumId w:val="3"/>
  </w:num>
  <w:num w:numId="6">
    <w:abstractNumId w:val="8"/>
  </w:num>
  <w:num w:numId="7">
    <w:abstractNumId w:val="16"/>
  </w:num>
  <w:num w:numId="8">
    <w:abstractNumId w:val="9"/>
  </w:num>
  <w:num w:numId="9">
    <w:abstractNumId w:val="14"/>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2"/>
  </w:num>
  <w:num w:numId="15">
    <w:abstractNumId w:val="1"/>
  </w:num>
  <w:num w:numId="16">
    <w:abstractNumId w:val="0"/>
  </w:num>
  <w:num w:numId="17">
    <w:abstractNumId w:val="4"/>
  </w:num>
  <w:num w:numId="18">
    <w:abstractNumId w:val="12"/>
  </w:num>
  <w:num w:numId="19">
    <w:abstractNumId w:val="8"/>
  </w:num>
  <w:num w:numId="20">
    <w:abstractNumId w:val="8"/>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BE"/>
    <w:rsid w:val="0004511A"/>
    <w:rsid w:val="000C55EB"/>
    <w:rsid w:val="003F63E2"/>
    <w:rsid w:val="00461807"/>
    <w:rsid w:val="004A026E"/>
    <w:rsid w:val="0054747E"/>
    <w:rsid w:val="00626E31"/>
    <w:rsid w:val="00830F5B"/>
    <w:rsid w:val="008C1151"/>
    <w:rsid w:val="00905F94"/>
    <w:rsid w:val="00AA4B88"/>
    <w:rsid w:val="00B57188"/>
    <w:rsid w:val="00B948BE"/>
    <w:rsid w:val="00C6669A"/>
    <w:rsid w:val="00CC3508"/>
    <w:rsid w:val="00E3214D"/>
    <w:rsid w:val="00ED6ABA"/>
    <w:rsid w:val="00F12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F81E8AF-E6B4-46CF-9D32-BE98B8C3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48BE"/>
    <w:pPr>
      <w:spacing w:before="0"/>
    </w:pPr>
    <w:rPr>
      <w:sz w:val="20"/>
      <w:szCs w:val="20"/>
    </w:rPr>
  </w:style>
  <w:style w:type="character" w:customStyle="1" w:styleId="FootnoteTextChar">
    <w:name w:val="Footnote Text Char"/>
    <w:basedOn w:val="DefaultParagraphFont"/>
    <w:link w:val="FootnoteText"/>
    <w:uiPriority w:val="99"/>
    <w:semiHidden/>
    <w:rsid w:val="00B948BE"/>
    <w:rPr>
      <w:lang w:eastAsia="en-US"/>
    </w:rPr>
  </w:style>
  <w:style w:type="character" w:styleId="FootnoteReference">
    <w:name w:val="footnote reference"/>
    <w:basedOn w:val="DefaultParagraphFont"/>
    <w:uiPriority w:val="99"/>
    <w:semiHidden/>
    <w:unhideWhenUsed/>
    <w:rsid w:val="00B94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8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01428D9-AA4F-47D6-BD75-65A6581A860A}">
  <ds:schemaRefs>
    <ds:schemaRef ds:uri="http://schemas.openxmlformats.org/officeDocument/2006/bibliography"/>
  </ds:schemaRefs>
</ds:datastoreItem>
</file>

<file path=customXml/itemProps2.xml><?xml version="1.0" encoding="utf-8"?>
<ds:datastoreItem xmlns:ds="http://schemas.openxmlformats.org/officeDocument/2006/customXml" ds:itemID="{0553C6D5-975A-4828-B80F-8BC44B4E8668}"/>
</file>

<file path=customXml/itemProps3.xml><?xml version="1.0" encoding="utf-8"?>
<ds:datastoreItem xmlns:ds="http://schemas.openxmlformats.org/officeDocument/2006/customXml" ds:itemID="{84EF96E8-88E8-45AA-8F01-82780F196988}"/>
</file>

<file path=customXml/itemProps4.xml><?xml version="1.0" encoding="utf-8"?>
<ds:datastoreItem xmlns:ds="http://schemas.openxmlformats.org/officeDocument/2006/customXml" ds:itemID="{59127DE0-C443-494C-AC6A-CAF43A950B00}"/>
</file>

<file path=docProps/app.xml><?xml version="1.0" encoding="utf-8"?>
<Properties xmlns="http://schemas.openxmlformats.org/officeDocument/2006/extended-properties" xmlns:vt="http://schemas.openxmlformats.org/officeDocument/2006/docPropsVTypes">
  <Template>Normal</Template>
  <TotalTime>27</TotalTime>
  <Pages>4</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Bond, Damien</dc:creator>
  <cp:keywords/>
  <dc:description/>
  <cp:lastModifiedBy>Loram, James</cp:lastModifiedBy>
  <cp:revision>8</cp:revision>
  <cp:lastPrinted>2015-08-14T05:36:00Z</cp:lastPrinted>
  <dcterms:created xsi:type="dcterms:W3CDTF">2019-08-06T01:57:00Z</dcterms:created>
  <dcterms:modified xsi:type="dcterms:W3CDTF">2019-08-15T03:16:00Z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